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CE5D2" w14:textId="77777777" w:rsidR="00271679" w:rsidRPr="00B8081C" w:rsidRDefault="00271679" w:rsidP="00271679">
      <w:pPr>
        <w:pStyle w:val="NoSpacing"/>
        <w:jc w:val="center"/>
        <w:rPr>
          <w:rFonts w:ascii="Arial" w:hAnsi="Arial" w:cs="Arial"/>
        </w:rPr>
      </w:pPr>
    </w:p>
    <w:p w14:paraId="4D9975CA" w14:textId="77777777" w:rsidR="004118BC" w:rsidRPr="00B8081C" w:rsidRDefault="00271679" w:rsidP="00271679">
      <w:pPr>
        <w:pStyle w:val="NoSpacing"/>
        <w:jc w:val="center"/>
        <w:rPr>
          <w:rFonts w:ascii="Arial" w:hAnsi="Arial" w:cs="Arial"/>
        </w:rPr>
      </w:pPr>
      <w:r w:rsidRPr="00B8081C">
        <w:rPr>
          <w:rFonts w:ascii="Arial" w:hAnsi="Arial" w:cs="Arial"/>
          <w:noProof/>
        </w:rPr>
        <w:drawing>
          <wp:inline distT="0" distB="0" distL="0" distR="0" wp14:anchorId="36340F7C" wp14:editId="0642E99B">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1348B1AF" w14:textId="77777777" w:rsidR="004118BC" w:rsidRPr="00B8081C" w:rsidRDefault="004118BC" w:rsidP="00EE1D65">
      <w:pPr>
        <w:pStyle w:val="NoSpacing"/>
        <w:rPr>
          <w:rFonts w:ascii="Arial" w:hAnsi="Arial" w:cs="Arial"/>
        </w:rPr>
      </w:pPr>
    </w:p>
    <w:p w14:paraId="66D53E3E" w14:textId="77777777" w:rsidR="004118BC" w:rsidRPr="00B8081C" w:rsidRDefault="004118BC" w:rsidP="00EE1D65">
      <w:pPr>
        <w:pStyle w:val="NoSpacing"/>
        <w:rPr>
          <w:rFonts w:ascii="Arial" w:hAnsi="Arial" w:cs="Arial"/>
        </w:rPr>
      </w:pPr>
    </w:p>
    <w:p w14:paraId="1DC1CF28" w14:textId="77777777" w:rsidR="004118BC" w:rsidRPr="00B8081C" w:rsidRDefault="004118BC" w:rsidP="00EE1D65">
      <w:pPr>
        <w:pStyle w:val="NoSpacing"/>
        <w:rPr>
          <w:rFonts w:ascii="Arial" w:hAnsi="Arial" w:cs="Arial"/>
        </w:rPr>
      </w:pPr>
    </w:p>
    <w:p w14:paraId="2F34E3F6" w14:textId="77777777" w:rsidR="004118BC" w:rsidRPr="00B8081C" w:rsidRDefault="004118BC" w:rsidP="00EE1D65">
      <w:pPr>
        <w:pStyle w:val="NoSpacing"/>
        <w:rPr>
          <w:rFonts w:ascii="Arial" w:hAnsi="Arial" w:cs="Arial"/>
        </w:rPr>
      </w:pPr>
    </w:p>
    <w:p w14:paraId="1B1A1136" w14:textId="77777777" w:rsidR="004118BC" w:rsidRPr="00B8081C" w:rsidRDefault="004118BC" w:rsidP="00EE1D65">
      <w:pPr>
        <w:pStyle w:val="NoSpacing"/>
        <w:rPr>
          <w:rFonts w:ascii="Arial" w:hAnsi="Arial" w:cs="Arial"/>
        </w:rPr>
      </w:pPr>
    </w:p>
    <w:p w14:paraId="52130AF9" w14:textId="77777777" w:rsidR="004118BC" w:rsidRPr="00B8081C" w:rsidRDefault="004118BC" w:rsidP="00EE1D65">
      <w:pPr>
        <w:pStyle w:val="NoSpacing"/>
        <w:jc w:val="center"/>
        <w:rPr>
          <w:rFonts w:ascii="Arial" w:hAnsi="Arial" w:cs="Arial"/>
        </w:rPr>
      </w:pPr>
    </w:p>
    <w:p w14:paraId="295D605F" w14:textId="77777777" w:rsidR="00DC0417" w:rsidRPr="00DC0417" w:rsidRDefault="00DC0417" w:rsidP="00DC0417">
      <w:pPr>
        <w:pStyle w:val="Title"/>
      </w:pPr>
      <w:r w:rsidRPr="00DC0417">
        <w:t xml:space="preserve">Able, Gifted and Talented </w:t>
      </w:r>
    </w:p>
    <w:p w14:paraId="7E46F6A6" w14:textId="77777777" w:rsidR="00DC0417" w:rsidRPr="00DC0417" w:rsidRDefault="00DC0417" w:rsidP="00DC0417">
      <w:pPr>
        <w:pStyle w:val="Title"/>
      </w:pPr>
      <w:r w:rsidRPr="00DC0417">
        <w:t xml:space="preserve">Policy </w:t>
      </w:r>
    </w:p>
    <w:p w14:paraId="18F68348" w14:textId="77777777" w:rsidR="00476E6F" w:rsidRDefault="00476E6F" w:rsidP="00DC0417">
      <w:pPr>
        <w:pStyle w:val="NoSpacing"/>
        <w:rPr>
          <w:rFonts w:ascii="Arial" w:hAnsi="Arial" w:cs="Arial"/>
          <w:b/>
          <w:sz w:val="52"/>
          <w:szCs w:val="32"/>
        </w:rPr>
      </w:pPr>
    </w:p>
    <w:p w14:paraId="621B7C06" w14:textId="77777777" w:rsidR="00D006AF" w:rsidRPr="00B8081C" w:rsidRDefault="00D006AF" w:rsidP="00DC0417">
      <w:pPr>
        <w:pStyle w:val="NoSpacing"/>
        <w:rPr>
          <w:rFonts w:ascii="Arial" w:hAnsi="Arial" w:cs="Arial"/>
          <w:b/>
          <w:sz w:val="52"/>
          <w:szCs w:val="32"/>
        </w:rPr>
      </w:pPr>
    </w:p>
    <w:p w14:paraId="6420876D" w14:textId="4380557D" w:rsidR="00D651FD" w:rsidRPr="00B8081C" w:rsidRDefault="00DC0417" w:rsidP="00FA047A">
      <w:pPr>
        <w:pStyle w:val="Title"/>
      </w:pPr>
      <w:r>
        <w:t>September</w:t>
      </w:r>
      <w:r w:rsidR="00BA7104">
        <w:t xml:space="preserve"> </w:t>
      </w:r>
      <w:r w:rsidR="00D50F21">
        <w:t>2018</w:t>
      </w:r>
    </w:p>
    <w:p w14:paraId="440AB6A0" w14:textId="41B0F31A" w:rsidR="00D651FD" w:rsidRDefault="00D651FD" w:rsidP="00D651FD">
      <w:pPr>
        <w:pStyle w:val="NoSpacing"/>
        <w:rPr>
          <w:rFonts w:ascii="Arial" w:hAnsi="Arial" w:cs="Arial"/>
          <w:b/>
          <w:sz w:val="52"/>
          <w:szCs w:val="32"/>
        </w:rPr>
      </w:pPr>
    </w:p>
    <w:p w14:paraId="3C6AF461" w14:textId="29A105CE" w:rsidR="003B513D" w:rsidRDefault="003B513D" w:rsidP="00D651FD">
      <w:pPr>
        <w:pStyle w:val="NoSpacing"/>
        <w:rPr>
          <w:rFonts w:ascii="Arial" w:hAnsi="Arial" w:cs="Arial"/>
          <w:b/>
          <w:sz w:val="52"/>
          <w:szCs w:val="32"/>
        </w:rPr>
      </w:pPr>
    </w:p>
    <w:p w14:paraId="21687B84" w14:textId="10379348" w:rsidR="003B513D" w:rsidRDefault="003B513D" w:rsidP="00D651FD">
      <w:pPr>
        <w:pStyle w:val="NoSpacing"/>
        <w:rPr>
          <w:rFonts w:ascii="Arial" w:hAnsi="Arial" w:cs="Arial"/>
          <w:b/>
          <w:sz w:val="52"/>
          <w:szCs w:val="32"/>
        </w:rPr>
      </w:pPr>
    </w:p>
    <w:p w14:paraId="3F19E3BC" w14:textId="42E1D1B1" w:rsidR="003B513D" w:rsidRDefault="003B513D" w:rsidP="00D651FD">
      <w:pPr>
        <w:pStyle w:val="NoSpacing"/>
        <w:rPr>
          <w:rFonts w:ascii="Arial" w:hAnsi="Arial" w:cs="Arial"/>
          <w:b/>
          <w:sz w:val="52"/>
          <w:szCs w:val="32"/>
        </w:rPr>
      </w:pPr>
    </w:p>
    <w:p w14:paraId="6C3658AD" w14:textId="35F5CD6B" w:rsidR="003B513D" w:rsidRDefault="003B513D" w:rsidP="00D651FD">
      <w:pPr>
        <w:pStyle w:val="NoSpacing"/>
        <w:rPr>
          <w:rFonts w:ascii="Arial" w:hAnsi="Arial" w:cs="Arial"/>
          <w:b/>
          <w:sz w:val="52"/>
          <w:szCs w:val="32"/>
        </w:rPr>
      </w:pPr>
    </w:p>
    <w:p w14:paraId="31D662E8" w14:textId="02947A98" w:rsidR="003B513D" w:rsidRDefault="003B513D" w:rsidP="00D651FD">
      <w:pPr>
        <w:pStyle w:val="NoSpacing"/>
        <w:rPr>
          <w:rFonts w:ascii="Arial" w:hAnsi="Arial" w:cs="Arial"/>
          <w:b/>
          <w:sz w:val="52"/>
          <w:szCs w:val="32"/>
        </w:rPr>
      </w:pPr>
    </w:p>
    <w:p w14:paraId="152FB9D1" w14:textId="62F83AED" w:rsidR="003B513D" w:rsidRDefault="003B513D" w:rsidP="00D651FD">
      <w:pPr>
        <w:pStyle w:val="NoSpacing"/>
        <w:rPr>
          <w:rFonts w:ascii="Arial" w:hAnsi="Arial" w:cs="Arial"/>
          <w:b/>
          <w:sz w:val="52"/>
          <w:szCs w:val="32"/>
        </w:rPr>
      </w:pPr>
    </w:p>
    <w:p w14:paraId="67F9892F" w14:textId="77777777" w:rsidR="003B513D" w:rsidRDefault="003B513D" w:rsidP="00D651FD">
      <w:pPr>
        <w:pStyle w:val="NoSpacing"/>
        <w:rPr>
          <w:rFonts w:ascii="Arial" w:hAnsi="Arial" w:cs="Arial"/>
          <w:b/>
          <w:sz w:val="52"/>
          <w:szCs w:val="32"/>
        </w:rPr>
      </w:pPr>
    </w:p>
    <w:p w14:paraId="6822F6B9" w14:textId="77777777" w:rsidR="00DC0417" w:rsidRDefault="00DC0417" w:rsidP="00D651FD">
      <w:pPr>
        <w:pStyle w:val="NoSpacing"/>
        <w:rPr>
          <w:rFonts w:ascii="Arial" w:hAnsi="Arial" w:cs="Arial"/>
          <w:b/>
          <w:sz w:val="52"/>
          <w:szCs w:val="32"/>
        </w:rPr>
      </w:pPr>
    </w:p>
    <w:p w14:paraId="7879B53E" w14:textId="785B4FF7" w:rsidR="0097581B" w:rsidRPr="00B8081C" w:rsidRDefault="00DC0417" w:rsidP="00CB0744">
      <w:pPr>
        <w:pStyle w:val="Heading1"/>
      </w:pPr>
      <w:bookmarkStart w:id="0" w:name="_GoBack"/>
      <w:bookmarkEnd w:id="0"/>
      <w:r>
        <w:t>Introduction</w:t>
      </w:r>
    </w:p>
    <w:p w14:paraId="46D8DEBA" w14:textId="4D17BF1B" w:rsidR="00DC0417" w:rsidRPr="00DC0417" w:rsidRDefault="00DC0417" w:rsidP="00DC0417">
      <w:pPr>
        <w:pStyle w:val="Heading2"/>
      </w:pPr>
      <w:r w:rsidRPr="00DC0417">
        <w:t xml:space="preserve">We believe that all children are entitled to an education that will enable them to develop to their full potential, be that intellectual, physical, aesthetic, creative, emotional, spiritual or social. We are committed to providing a stimulating and suitably challenging curriculum for all its </w:t>
      </w:r>
      <w:r w:rsidR="00573739">
        <w:t>pupil</w:t>
      </w:r>
      <w:r w:rsidR="00573739" w:rsidRPr="00DC0417">
        <w:t>s</w:t>
      </w:r>
      <w:r w:rsidRPr="00DC0417">
        <w:t xml:space="preserve">, in the pursuit of the highest academic and pastoral achievements. </w:t>
      </w:r>
    </w:p>
    <w:p w14:paraId="08E55359" w14:textId="77777777" w:rsidR="00DC0417" w:rsidRPr="00DC0417" w:rsidRDefault="00DC0417" w:rsidP="00DC0417">
      <w:pPr>
        <w:pStyle w:val="Heading2"/>
        <w:numPr>
          <w:ilvl w:val="0"/>
          <w:numId w:val="0"/>
        </w:numPr>
        <w:ind w:left="720"/>
        <w:rPr>
          <w:b/>
        </w:rPr>
      </w:pPr>
    </w:p>
    <w:p w14:paraId="702B0AC0" w14:textId="230B4B92" w:rsidR="008C67E6" w:rsidRPr="00B8081C" w:rsidRDefault="00DC0417" w:rsidP="00DC0417">
      <w:pPr>
        <w:pStyle w:val="Heading2"/>
      </w:pPr>
      <w:r w:rsidRPr="00DC0417">
        <w:t xml:space="preserve">All </w:t>
      </w:r>
      <w:r w:rsidR="00573739">
        <w:t>pupil</w:t>
      </w:r>
      <w:r w:rsidR="00573739" w:rsidRPr="00DC0417">
        <w:t xml:space="preserve">s </w:t>
      </w:r>
      <w:r w:rsidRPr="00DC0417">
        <w:t>have individual needs, which puts personalised learning at the heart of our teaching and learning programme. Able, gifted and talented (AG+T) pupils should be given the opportunity to access an optimal breadth and depth of learning; as such we aim to provide opportunities to develop specific skills and talents.</w:t>
      </w:r>
    </w:p>
    <w:p w14:paraId="7DAD96D0" w14:textId="77777777" w:rsidR="00D651FD" w:rsidRPr="00B8081C" w:rsidRDefault="00D651FD" w:rsidP="0031055F">
      <w:pPr>
        <w:pStyle w:val="Heading1"/>
        <w:numPr>
          <w:ilvl w:val="0"/>
          <w:numId w:val="0"/>
        </w:numPr>
        <w:rPr>
          <w:rFonts w:cs="Arial"/>
          <w:szCs w:val="22"/>
        </w:rPr>
      </w:pPr>
    </w:p>
    <w:p w14:paraId="7F8201F8" w14:textId="3617FA9C" w:rsidR="008C67E6" w:rsidRPr="00B8081C" w:rsidRDefault="00DC0417" w:rsidP="00172B39">
      <w:pPr>
        <w:pStyle w:val="Heading1"/>
      </w:pPr>
      <w:r>
        <w:t>Definitions</w:t>
      </w:r>
    </w:p>
    <w:p w14:paraId="2116F33F" w14:textId="19F71320" w:rsidR="00DC0417" w:rsidRDefault="000F1011" w:rsidP="000F1011">
      <w:pPr>
        <w:pStyle w:val="Heading2"/>
      </w:pPr>
      <w:r>
        <w:t>Children are identified as AG+T through various means. This could include results significantly above national average in CAT tests, which are carried out at the beginning of each academic year. A child can also be identified as AG+T through high achievement and potential in sports matches, both in and out of school. Musical talent can either be highlighted through attainment of exams or grades, or excellence in music lessons/choir at school</w:t>
      </w:r>
    </w:p>
    <w:p w14:paraId="36A563DB" w14:textId="77777777" w:rsidR="000F1011" w:rsidRPr="000F1011" w:rsidRDefault="000F1011" w:rsidP="000F1011">
      <w:pPr>
        <w:pStyle w:val="NoSpacing"/>
      </w:pPr>
    </w:p>
    <w:tbl>
      <w:tblPr>
        <w:tblStyle w:val="TableGrid"/>
        <w:tblW w:w="9213" w:type="dxa"/>
        <w:tblInd w:w="421" w:type="dxa"/>
        <w:tblLook w:val="04A0" w:firstRow="1" w:lastRow="0" w:firstColumn="1" w:lastColumn="0" w:noHBand="0" w:noVBand="1"/>
      </w:tblPr>
      <w:tblGrid>
        <w:gridCol w:w="1708"/>
        <w:gridCol w:w="7505"/>
      </w:tblGrid>
      <w:tr w:rsidR="00DC0417" w:rsidRPr="00DF374E" w14:paraId="115B7BA3" w14:textId="77777777" w:rsidTr="000F1011">
        <w:tc>
          <w:tcPr>
            <w:tcW w:w="1368" w:type="dxa"/>
          </w:tcPr>
          <w:p w14:paraId="4B95A402" w14:textId="77777777" w:rsidR="00DC0417" w:rsidRPr="00DC0417" w:rsidRDefault="00DC0417" w:rsidP="000F1011">
            <w:pPr>
              <w:pStyle w:val="NoSpacing"/>
              <w:rPr>
                <w:b/>
              </w:rPr>
            </w:pPr>
            <w:r w:rsidRPr="00DC0417">
              <w:rPr>
                <w:b/>
              </w:rPr>
              <w:t>Able</w:t>
            </w:r>
          </w:p>
        </w:tc>
        <w:tc>
          <w:tcPr>
            <w:tcW w:w="7845" w:type="dxa"/>
          </w:tcPr>
          <w:p w14:paraId="46C1BC24" w14:textId="035EF4F0" w:rsidR="00DC0417" w:rsidRPr="00DF374E" w:rsidRDefault="00573739" w:rsidP="000F1011">
            <w:pPr>
              <w:pStyle w:val="NoSpacing"/>
            </w:pPr>
            <w:r>
              <w:t>Pupil</w:t>
            </w:r>
            <w:r w:rsidRPr="00DF374E">
              <w:t xml:space="preserve">s </w:t>
            </w:r>
            <w:r w:rsidR="00DC0417" w:rsidRPr="00DF374E">
              <w:t>who achieve, or have the ability to achieve, above average in one or more academic areas, including areas outside the main school curriculum. This also includes children who are leaders or role models and who display outstanding leadership and/or social skills.</w:t>
            </w:r>
          </w:p>
        </w:tc>
      </w:tr>
      <w:tr w:rsidR="00DC0417" w:rsidRPr="00DF374E" w14:paraId="145FA0E7" w14:textId="77777777" w:rsidTr="000F1011">
        <w:tc>
          <w:tcPr>
            <w:tcW w:w="1368" w:type="dxa"/>
          </w:tcPr>
          <w:p w14:paraId="7DA2C56C" w14:textId="77777777" w:rsidR="00DC0417" w:rsidRPr="00DC0417" w:rsidRDefault="00DC0417" w:rsidP="000F1011">
            <w:pPr>
              <w:pStyle w:val="NoSpacing"/>
              <w:rPr>
                <w:b/>
              </w:rPr>
            </w:pPr>
            <w:r w:rsidRPr="00DC0417">
              <w:rPr>
                <w:b/>
              </w:rPr>
              <w:t>Gifted</w:t>
            </w:r>
          </w:p>
        </w:tc>
        <w:tc>
          <w:tcPr>
            <w:tcW w:w="7845" w:type="dxa"/>
          </w:tcPr>
          <w:p w14:paraId="687CBCB0" w14:textId="6CE746F1" w:rsidR="00DC0417" w:rsidRPr="00DF374E" w:rsidRDefault="00573739" w:rsidP="000F1011">
            <w:pPr>
              <w:pStyle w:val="NoSpacing"/>
            </w:pPr>
            <w:r>
              <w:t>Pupil</w:t>
            </w:r>
            <w:r w:rsidRPr="00DF374E">
              <w:t xml:space="preserve">s </w:t>
            </w:r>
            <w:r w:rsidR="00DC0417" w:rsidRPr="00DF374E">
              <w:t>with an innate ability, who present a natural, outstanding aptitude or competence for exceptional performance.</w:t>
            </w:r>
          </w:p>
        </w:tc>
      </w:tr>
      <w:tr w:rsidR="00DC0417" w:rsidRPr="00DF374E" w14:paraId="42205460" w14:textId="77777777" w:rsidTr="000F1011">
        <w:tc>
          <w:tcPr>
            <w:tcW w:w="1368" w:type="dxa"/>
          </w:tcPr>
          <w:p w14:paraId="33AC8626" w14:textId="77777777" w:rsidR="00DC0417" w:rsidRPr="00DC0417" w:rsidRDefault="00DC0417" w:rsidP="000F1011">
            <w:pPr>
              <w:pStyle w:val="NoSpacing"/>
              <w:rPr>
                <w:b/>
              </w:rPr>
            </w:pPr>
            <w:r w:rsidRPr="00DC0417">
              <w:rPr>
                <w:b/>
              </w:rPr>
              <w:t xml:space="preserve">Talented </w:t>
            </w:r>
          </w:p>
        </w:tc>
        <w:tc>
          <w:tcPr>
            <w:tcW w:w="7845" w:type="dxa"/>
          </w:tcPr>
          <w:p w14:paraId="7CA33D89" w14:textId="7F998EBF" w:rsidR="00DC0417" w:rsidRPr="00DF374E" w:rsidRDefault="00573739" w:rsidP="000F1011">
            <w:pPr>
              <w:pStyle w:val="NoSpacing"/>
            </w:pPr>
            <w:r>
              <w:t>Pupil</w:t>
            </w:r>
            <w:r w:rsidRPr="00DF374E">
              <w:t xml:space="preserve">s </w:t>
            </w:r>
            <w:r w:rsidR="00DC0417" w:rsidRPr="00DF374E">
              <w:t>who excel in one or more specific fields:</w:t>
            </w:r>
          </w:p>
          <w:p w14:paraId="1D7CB9E4" w14:textId="77777777" w:rsidR="00DC0417" w:rsidRPr="00DF374E" w:rsidRDefault="00DC0417" w:rsidP="00DC0417">
            <w:pPr>
              <w:pStyle w:val="NoSpacing"/>
              <w:numPr>
                <w:ilvl w:val="0"/>
                <w:numId w:val="16"/>
              </w:numPr>
            </w:pPr>
            <w:r w:rsidRPr="00DF374E">
              <w:t>Creative and Performing Arts – Art, Design &amp; Technology, Drama, Music</w:t>
            </w:r>
            <w:r>
              <w:t>;</w:t>
            </w:r>
          </w:p>
          <w:p w14:paraId="54F422E3" w14:textId="77777777" w:rsidR="00DC0417" w:rsidRPr="00DF374E" w:rsidRDefault="00DC0417" w:rsidP="00DC0417">
            <w:pPr>
              <w:pStyle w:val="NoSpacing"/>
              <w:numPr>
                <w:ilvl w:val="0"/>
                <w:numId w:val="16"/>
              </w:numPr>
            </w:pPr>
            <w:r>
              <w:t>Physical Education/s</w:t>
            </w:r>
            <w:r w:rsidRPr="00DF374E">
              <w:t>porting ability</w:t>
            </w:r>
            <w:r>
              <w:t>; and/or</w:t>
            </w:r>
          </w:p>
          <w:p w14:paraId="34EB4E1C" w14:textId="77777777" w:rsidR="00DC0417" w:rsidRPr="00DF374E" w:rsidRDefault="00DC0417" w:rsidP="00DC0417">
            <w:pPr>
              <w:pStyle w:val="NoSpacing"/>
              <w:numPr>
                <w:ilvl w:val="0"/>
                <w:numId w:val="16"/>
              </w:numPr>
            </w:pPr>
            <w:r w:rsidRPr="00DF374E">
              <w:t>Extra-curricular pastimes – e.g. Chess</w:t>
            </w:r>
            <w:r>
              <w:t>.</w:t>
            </w:r>
          </w:p>
        </w:tc>
      </w:tr>
      <w:tr w:rsidR="00DC0417" w:rsidRPr="00DF374E" w14:paraId="7423EBB8" w14:textId="77777777" w:rsidTr="000F1011">
        <w:tc>
          <w:tcPr>
            <w:tcW w:w="1368" w:type="dxa"/>
          </w:tcPr>
          <w:p w14:paraId="6D51B64C" w14:textId="77777777" w:rsidR="00DC0417" w:rsidRPr="00DC0417" w:rsidRDefault="00DC0417" w:rsidP="000F1011">
            <w:pPr>
              <w:pStyle w:val="NoSpacing"/>
              <w:rPr>
                <w:b/>
              </w:rPr>
            </w:pPr>
            <w:r w:rsidRPr="00DC0417">
              <w:rPr>
                <w:b/>
              </w:rPr>
              <w:t xml:space="preserve">Dual </w:t>
            </w:r>
          </w:p>
          <w:p w14:paraId="72CB7020" w14:textId="77777777" w:rsidR="00DC0417" w:rsidRPr="00DC0417" w:rsidRDefault="00DC0417" w:rsidP="000F1011">
            <w:pPr>
              <w:pStyle w:val="NoSpacing"/>
              <w:rPr>
                <w:b/>
              </w:rPr>
            </w:pPr>
            <w:r w:rsidRPr="00DC0417">
              <w:rPr>
                <w:b/>
              </w:rPr>
              <w:t xml:space="preserve">Exceptionality </w:t>
            </w:r>
          </w:p>
        </w:tc>
        <w:tc>
          <w:tcPr>
            <w:tcW w:w="7845" w:type="dxa"/>
          </w:tcPr>
          <w:p w14:paraId="019978D6" w14:textId="26932FFC" w:rsidR="00DC0417" w:rsidRPr="00DF374E" w:rsidRDefault="00573739" w:rsidP="000F1011">
            <w:pPr>
              <w:pStyle w:val="NoSpacing"/>
            </w:pPr>
            <w:r>
              <w:t>Pupil</w:t>
            </w:r>
            <w:r w:rsidRPr="00DF374E">
              <w:t xml:space="preserve">s </w:t>
            </w:r>
            <w:r w:rsidR="00DC0417" w:rsidRPr="00DF374E">
              <w:t xml:space="preserve">who are able, gifted or talented but also subject to a barrier of learning, such as </w:t>
            </w:r>
            <w:r w:rsidR="003B5744">
              <w:t>D</w:t>
            </w:r>
            <w:r w:rsidR="00DC0417" w:rsidRPr="00DF374E">
              <w:t>yslexia, Asperger’s Syndrome, or a physical disability.</w:t>
            </w:r>
          </w:p>
          <w:p w14:paraId="77BD4AEF" w14:textId="77777777" w:rsidR="00DC0417" w:rsidRPr="00DF374E" w:rsidRDefault="00DC0417" w:rsidP="000F1011">
            <w:pPr>
              <w:pStyle w:val="NoSpacing"/>
            </w:pPr>
            <w:r w:rsidRPr="00DF374E">
              <w:t>It is worth remembering that able pupils can also be:</w:t>
            </w:r>
          </w:p>
          <w:p w14:paraId="33F09E93" w14:textId="77777777" w:rsidR="00DC0417" w:rsidRPr="00DF374E" w:rsidRDefault="00DC0417" w:rsidP="00DC0417">
            <w:pPr>
              <w:pStyle w:val="NoSpacing"/>
              <w:numPr>
                <w:ilvl w:val="0"/>
                <w:numId w:val="17"/>
              </w:numPr>
            </w:pPr>
            <w:r w:rsidRPr="00DF374E">
              <w:t>of hig</w:t>
            </w:r>
            <w:r>
              <w:t>h ability but of low motivation;</w:t>
            </w:r>
          </w:p>
          <w:p w14:paraId="31003410" w14:textId="77777777" w:rsidR="00DC0417" w:rsidRPr="00DF374E" w:rsidRDefault="00DC0417" w:rsidP="00DC0417">
            <w:pPr>
              <w:pStyle w:val="NoSpacing"/>
              <w:numPr>
                <w:ilvl w:val="0"/>
                <w:numId w:val="17"/>
              </w:numPr>
            </w:pPr>
            <w:r w:rsidRPr="00DF374E">
              <w:t>of good verbal ability but have poor writing skills;</w:t>
            </w:r>
          </w:p>
          <w:p w14:paraId="6FDA084D" w14:textId="77777777" w:rsidR="00DC0417" w:rsidRPr="00DF374E" w:rsidRDefault="00DC0417" w:rsidP="00DC0417">
            <w:pPr>
              <w:pStyle w:val="NoSpacing"/>
              <w:numPr>
                <w:ilvl w:val="0"/>
                <w:numId w:val="17"/>
              </w:numPr>
            </w:pPr>
            <w:r w:rsidRPr="00DF374E">
              <w:t>very able but with a short attention span;</w:t>
            </w:r>
          </w:p>
          <w:p w14:paraId="1A7D5E8C" w14:textId="77777777" w:rsidR="00DC0417" w:rsidRPr="00DF374E" w:rsidRDefault="00DC0417" w:rsidP="00DC0417">
            <w:pPr>
              <w:pStyle w:val="NoSpacing"/>
              <w:numPr>
                <w:ilvl w:val="0"/>
                <w:numId w:val="17"/>
              </w:numPr>
            </w:pPr>
            <w:r w:rsidRPr="00DF374E">
              <w:t>very able with poor social skills; and/or</w:t>
            </w:r>
          </w:p>
          <w:p w14:paraId="56A0DBFA" w14:textId="77777777" w:rsidR="00DC0417" w:rsidRPr="00DF374E" w:rsidRDefault="00DC0417" w:rsidP="00DC0417">
            <w:pPr>
              <w:pStyle w:val="NoSpacing"/>
              <w:numPr>
                <w:ilvl w:val="0"/>
                <w:numId w:val="17"/>
              </w:numPr>
            </w:pPr>
            <w:r w:rsidRPr="00DF374E">
              <w:t>keen to disguise their abilities.</w:t>
            </w:r>
          </w:p>
        </w:tc>
      </w:tr>
    </w:tbl>
    <w:p w14:paraId="1BA8C2F9" w14:textId="77777777" w:rsidR="00DC0417" w:rsidRPr="00DC0417" w:rsidRDefault="00DC0417" w:rsidP="00DC0417">
      <w:pPr>
        <w:pStyle w:val="NoSpacing"/>
      </w:pPr>
    </w:p>
    <w:p w14:paraId="4B87AAB8" w14:textId="43EF1AB0" w:rsidR="0004576A" w:rsidRDefault="00DC0417" w:rsidP="00DC0417">
      <w:pPr>
        <w:pStyle w:val="Heading1"/>
        <w:rPr>
          <w:rFonts w:cs="Arial"/>
          <w:szCs w:val="24"/>
        </w:rPr>
      </w:pPr>
      <w:r w:rsidRPr="00DF374E">
        <w:t>Identification of Able, Gifted and Talented</w:t>
      </w:r>
    </w:p>
    <w:p w14:paraId="49F2400C" w14:textId="77777777" w:rsidR="00DC0417" w:rsidRPr="00DF374E" w:rsidRDefault="00DC0417" w:rsidP="00DC0417">
      <w:pPr>
        <w:pStyle w:val="Heading2"/>
      </w:pPr>
      <w:r w:rsidRPr="00DF374E">
        <w:t>The identification of able, gifted and</w:t>
      </w:r>
      <w:r>
        <w:t xml:space="preserve"> talented pupils is a process</w:t>
      </w:r>
      <w:r w:rsidRPr="00DF374E">
        <w:t xml:space="preserve"> which the whole teaching and support staff part</w:t>
      </w:r>
      <w:r>
        <w:t>icipate in,</w:t>
      </w:r>
      <w:r w:rsidRPr="00DF374E">
        <w:t xml:space="preserve"> as well as parents, carers and the children themselves. </w:t>
      </w:r>
    </w:p>
    <w:p w14:paraId="6D8FDB68" w14:textId="77777777" w:rsidR="00DC0417" w:rsidRPr="00DF374E" w:rsidRDefault="00DC0417" w:rsidP="00DC0417">
      <w:pPr>
        <w:pStyle w:val="NoSpacing"/>
      </w:pPr>
    </w:p>
    <w:p w14:paraId="42E116D3" w14:textId="6DFD58F6" w:rsidR="00DC0417" w:rsidRPr="00DF374E" w:rsidRDefault="00DC0417" w:rsidP="00DC0417">
      <w:pPr>
        <w:pStyle w:val="Heading2"/>
      </w:pPr>
      <w:r w:rsidRPr="00DF374E">
        <w:t>The identification begins when a child joins the school. The school is keen to understand their achievements and interests in particular areas as they join the school. Discussions with parents and carers will enable us to create the best possible picture of the child, and records of awards and achievements in academic, sporting, musical, artistic and any extra-curricular activities will be helpful in this respect.</w:t>
      </w:r>
    </w:p>
    <w:p w14:paraId="503561CF" w14:textId="77777777" w:rsidR="00DC0417" w:rsidRPr="00DF374E" w:rsidRDefault="00DC0417" w:rsidP="00DC0417">
      <w:pPr>
        <w:pStyle w:val="NoSpacing"/>
      </w:pPr>
    </w:p>
    <w:p w14:paraId="2AF63524" w14:textId="71858D0F" w:rsidR="00DC0417" w:rsidRPr="00DF374E" w:rsidRDefault="00DC0417" w:rsidP="00DC0417">
      <w:pPr>
        <w:pStyle w:val="Heading2"/>
      </w:pPr>
      <w:r w:rsidRPr="00DF374E">
        <w:t>Both qualitative and quantitative information is used for identification purposes:</w:t>
      </w:r>
    </w:p>
    <w:p w14:paraId="64B4A01C" w14:textId="77777777" w:rsidR="000F1011" w:rsidRPr="00DF374E" w:rsidRDefault="000F1011" w:rsidP="000F1011">
      <w:pPr>
        <w:pStyle w:val="NoSpacing"/>
        <w:numPr>
          <w:ilvl w:val="0"/>
          <w:numId w:val="18"/>
        </w:numPr>
      </w:pPr>
      <w:r w:rsidRPr="00DF374E">
        <w:t>A programme of formative, summative (in</w:t>
      </w:r>
      <w:r>
        <w:t>ternal and external) assessment</w:t>
      </w:r>
      <w:r w:rsidRPr="00DF374E">
        <w:t xml:space="preserve"> take</w:t>
      </w:r>
      <w:r>
        <w:t>s place (see the s</w:t>
      </w:r>
      <w:r w:rsidRPr="00DF374E">
        <w:t xml:space="preserve">chool Assessment Policy). </w:t>
      </w:r>
      <w:r>
        <w:t>The AG+T register is based on assessment data from CAT tests, which show results significantly above national average.</w:t>
      </w:r>
    </w:p>
    <w:p w14:paraId="006F34EE" w14:textId="77777777" w:rsidR="000F1011" w:rsidRDefault="000F1011" w:rsidP="000F1011">
      <w:pPr>
        <w:pStyle w:val="NoSpacing"/>
        <w:numPr>
          <w:ilvl w:val="0"/>
          <w:numId w:val="18"/>
        </w:numPr>
      </w:pPr>
      <w:r w:rsidRPr="00DF374E">
        <w:t xml:space="preserve">Department Heads will have an overview of pupils who demonstrate ability in their subjects, and will </w:t>
      </w:r>
      <w:r>
        <w:t xml:space="preserve">feed back to the Inclusion Manager and Senior Management Team on a termly basis. The Inclusion Manager and </w:t>
      </w:r>
      <w:proofErr w:type="spellStart"/>
      <w:r>
        <w:t>Headteacher</w:t>
      </w:r>
      <w:proofErr w:type="spellEnd"/>
      <w:r>
        <w:t xml:space="preserve"> will jointly decide if the child should be placed on the AG+T register.</w:t>
      </w:r>
    </w:p>
    <w:p w14:paraId="008E920F" w14:textId="1177F4C4" w:rsidR="00DC0417" w:rsidRDefault="00DC0417" w:rsidP="000F1011">
      <w:pPr>
        <w:pStyle w:val="NoSpacing"/>
        <w:numPr>
          <w:ilvl w:val="0"/>
          <w:numId w:val="18"/>
        </w:numPr>
      </w:pPr>
      <w:r w:rsidRPr="00DF374E">
        <w:t>A programme of formative, summative (in</w:t>
      </w:r>
      <w:r>
        <w:t>ternal and external) assessment</w:t>
      </w:r>
      <w:r w:rsidRPr="00DF374E">
        <w:t xml:space="preserve"> take</w:t>
      </w:r>
      <w:r>
        <w:t>s place (see the s</w:t>
      </w:r>
      <w:r w:rsidRPr="00DF374E">
        <w:t xml:space="preserve">chool Assessment Policy). </w:t>
      </w:r>
    </w:p>
    <w:p w14:paraId="41F5BB66" w14:textId="77777777" w:rsidR="000F1011" w:rsidRPr="00BA7104" w:rsidRDefault="000F1011" w:rsidP="000F1011">
      <w:pPr>
        <w:pStyle w:val="NoSpacing"/>
        <w:numPr>
          <w:ilvl w:val="0"/>
          <w:numId w:val="18"/>
        </w:numPr>
      </w:pPr>
    </w:p>
    <w:p w14:paraId="6D80FDC7" w14:textId="6CAC5F94" w:rsidR="0004576A" w:rsidRPr="003B5996" w:rsidRDefault="00DC0417" w:rsidP="00DC0417">
      <w:pPr>
        <w:pStyle w:val="Heading1"/>
        <w:rPr>
          <w:rFonts w:cs="Arial"/>
          <w:szCs w:val="22"/>
          <w:u w:val="single"/>
        </w:rPr>
      </w:pPr>
      <w:r w:rsidRPr="00DF374E">
        <w:rPr>
          <w:color w:val="0070C0"/>
        </w:rPr>
        <w:lastRenderedPageBreak/>
        <w:t xml:space="preserve">Responsibilities </w:t>
      </w:r>
    </w:p>
    <w:p w14:paraId="4307D20C" w14:textId="77777777" w:rsidR="00DC0417" w:rsidRPr="00DF374E" w:rsidRDefault="00DC0417" w:rsidP="00DC0417">
      <w:pPr>
        <w:pStyle w:val="Heading2"/>
      </w:pPr>
      <w:r w:rsidRPr="00DF374E">
        <w:t xml:space="preserve">Teachers: </w:t>
      </w:r>
    </w:p>
    <w:p w14:paraId="1389A370" w14:textId="77777777" w:rsidR="000F1011" w:rsidRPr="00DF374E" w:rsidRDefault="000F1011" w:rsidP="000F1011">
      <w:pPr>
        <w:pStyle w:val="NoSpacing"/>
        <w:numPr>
          <w:ilvl w:val="0"/>
          <w:numId w:val="19"/>
        </w:numPr>
        <w:rPr>
          <w:color w:val="000000" w:themeColor="text1"/>
        </w:rPr>
      </w:pPr>
      <w:r w:rsidRPr="00DF374E">
        <w:rPr>
          <w:color w:val="000000" w:themeColor="text1"/>
        </w:rPr>
        <w:t>Identify the pupils who meet the criteria</w:t>
      </w:r>
      <w:r>
        <w:rPr>
          <w:color w:val="000000" w:themeColor="text1"/>
        </w:rPr>
        <w:t>;</w:t>
      </w:r>
    </w:p>
    <w:p w14:paraId="224FB710" w14:textId="77777777" w:rsidR="000F1011" w:rsidRPr="00DF374E" w:rsidRDefault="000F1011" w:rsidP="000F1011">
      <w:pPr>
        <w:pStyle w:val="NoSpacing"/>
        <w:numPr>
          <w:ilvl w:val="0"/>
          <w:numId w:val="19"/>
        </w:numPr>
        <w:rPr>
          <w:color w:val="000000" w:themeColor="text1"/>
        </w:rPr>
      </w:pPr>
      <w:r>
        <w:rPr>
          <w:color w:val="000000" w:themeColor="text1"/>
        </w:rPr>
        <w:t>Use enrichment/</w:t>
      </w:r>
      <w:r w:rsidRPr="00DF374E">
        <w:rPr>
          <w:color w:val="000000" w:themeColor="text1"/>
        </w:rPr>
        <w:t>extension opportunities appropriately</w:t>
      </w:r>
      <w:r>
        <w:rPr>
          <w:color w:val="000000" w:themeColor="text1"/>
        </w:rPr>
        <w:t xml:space="preserve">; </w:t>
      </w:r>
    </w:p>
    <w:p w14:paraId="672E9D34" w14:textId="77777777" w:rsidR="000F1011" w:rsidRPr="00CB6814" w:rsidRDefault="000F1011" w:rsidP="000F1011">
      <w:pPr>
        <w:pStyle w:val="NoSpacing"/>
        <w:numPr>
          <w:ilvl w:val="0"/>
          <w:numId w:val="19"/>
        </w:numPr>
        <w:rPr>
          <w:color w:val="000000" w:themeColor="text1"/>
        </w:rPr>
      </w:pPr>
      <w:r w:rsidRPr="00DF374E">
        <w:rPr>
          <w:color w:val="000000" w:themeColor="text1"/>
        </w:rPr>
        <w:t>Identify and address underachievement</w:t>
      </w:r>
      <w:r>
        <w:rPr>
          <w:color w:val="000000" w:themeColor="text1"/>
        </w:rPr>
        <w:t>;</w:t>
      </w:r>
    </w:p>
    <w:p w14:paraId="0251BD2B" w14:textId="77777777" w:rsidR="000F1011" w:rsidRPr="00DF374E" w:rsidRDefault="000F1011" w:rsidP="000F1011">
      <w:pPr>
        <w:pStyle w:val="NoSpacing"/>
        <w:numPr>
          <w:ilvl w:val="0"/>
          <w:numId w:val="20"/>
        </w:numPr>
        <w:rPr>
          <w:color w:val="000000" w:themeColor="text1"/>
        </w:rPr>
      </w:pPr>
      <w:r w:rsidRPr="00DF374E">
        <w:rPr>
          <w:color w:val="000000" w:themeColor="text1"/>
        </w:rPr>
        <w:t>Provide the AG</w:t>
      </w:r>
      <w:r>
        <w:rPr>
          <w:color w:val="000000" w:themeColor="text1"/>
        </w:rPr>
        <w:t>+</w:t>
      </w:r>
      <w:r w:rsidRPr="00DF374E">
        <w:rPr>
          <w:color w:val="000000" w:themeColor="text1"/>
        </w:rPr>
        <w:t>T Co-ordinator with assessment results.</w:t>
      </w:r>
    </w:p>
    <w:p w14:paraId="14D2D5F8" w14:textId="77777777" w:rsidR="000F1011" w:rsidRPr="00DF374E" w:rsidRDefault="000F1011" w:rsidP="000F1011">
      <w:pPr>
        <w:pStyle w:val="NoSpacing"/>
        <w:rPr>
          <w:color w:val="000000" w:themeColor="text1"/>
        </w:rPr>
      </w:pPr>
    </w:p>
    <w:p w14:paraId="7767392D" w14:textId="77777777" w:rsidR="000F1011" w:rsidRPr="00DF374E" w:rsidRDefault="000F1011" w:rsidP="000F1011">
      <w:pPr>
        <w:pStyle w:val="NoSpacing"/>
        <w:rPr>
          <w:color w:val="000000" w:themeColor="text1"/>
        </w:rPr>
      </w:pPr>
      <w:r>
        <w:rPr>
          <w:color w:val="000000" w:themeColor="text1"/>
        </w:rPr>
        <w:t>4.2</w:t>
      </w:r>
      <w:r>
        <w:rPr>
          <w:color w:val="000000" w:themeColor="text1"/>
        </w:rPr>
        <w:tab/>
        <w:t>Senior Management Team</w:t>
      </w:r>
      <w:r w:rsidRPr="00DF374E">
        <w:rPr>
          <w:color w:val="000000" w:themeColor="text1"/>
        </w:rPr>
        <w:t xml:space="preserve">: </w:t>
      </w:r>
    </w:p>
    <w:p w14:paraId="4E095906" w14:textId="77777777" w:rsidR="000F1011" w:rsidRPr="00DF374E" w:rsidRDefault="000F1011" w:rsidP="000F1011">
      <w:pPr>
        <w:pStyle w:val="NoSpacing"/>
        <w:numPr>
          <w:ilvl w:val="0"/>
          <w:numId w:val="21"/>
        </w:numPr>
        <w:rPr>
          <w:color w:val="000000" w:themeColor="text1"/>
        </w:rPr>
      </w:pPr>
      <w:r w:rsidRPr="00DF374E">
        <w:rPr>
          <w:color w:val="000000" w:themeColor="text1"/>
        </w:rPr>
        <w:t>Prepare subject specific criteria with the AG</w:t>
      </w:r>
      <w:r>
        <w:rPr>
          <w:color w:val="000000" w:themeColor="text1"/>
        </w:rPr>
        <w:t>+</w:t>
      </w:r>
      <w:r w:rsidRPr="00DF374E">
        <w:rPr>
          <w:color w:val="000000" w:themeColor="text1"/>
        </w:rPr>
        <w:t>T Co-ordinator</w:t>
      </w:r>
      <w:r>
        <w:rPr>
          <w:color w:val="000000" w:themeColor="text1"/>
        </w:rPr>
        <w:t>;</w:t>
      </w:r>
    </w:p>
    <w:p w14:paraId="57A927C0" w14:textId="77777777" w:rsidR="000F1011" w:rsidRPr="00DF374E" w:rsidRDefault="000F1011" w:rsidP="000F1011">
      <w:pPr>
        <w:pStyle w:val="NoSpacing"/>
        <w:numPr>
          <w:ilvl w:val="0"/>
          <w:numId w:val="21"/>
        </w:numPr>
        <w:rPr>
          <w:b/>
          <w:color w:val="000000" w:themeColor="text1"/>
        </w:rPr>
      </w:pPr>
      <w:r w:rsidRPr="00DF374E">
        <w:rPr>
          <w:color w:val="000000" w:themeColor="text1"/>
        </w:rPr>
        <w:t>Inform department staff of these criteria</w:t>
      </w:r>
      <w:r>
        <w:rPr>
          <w:color w:val="000000" w:themeColor="text1"/>
        </w:rPr>
        <w:t>;</w:t>
      </w:r>
    </w:p>
    <w:p w14:paraId="0F66D229" w14:textId="77777777" w:rsidR="000F1011" w:rsidRPr="00DF374E" w:rsidRDefault="000F1011" w:rsidP="000F1011">
      <w:pPr>
        <w:pStyle w:val="NoSpacing"/>
        <w:numPr>
          <w:ilvl w:val="0"/>
          <w:numId w:val="21"/>
        </w:numPr>
        <w:rPr>
          <w:b/>
          <w:color w:val="000000" w:themeColor="text1"/>
        </w:rPr>
      </w:pPr>
      <w:r>
        <w:rPr>
          <w:color w:val="000000" w:themeColor="text1"/>
        </w:rPr>
        <w:t>Support with identification of</w:t>
      </w:r>
      <w:r w:rsidRPr="00DF374E">
        <w:rPr>
          <w:color w:val="000000" w:themeColor="text1"/>
        </w:rPr>
        <w:t xml:space="preserve"> students which meet the criteria</w:t>
      </w:r>
      <w:r>
        <w:rPr>
          <w:color w:val="000000" w:themeColor="text1"/>
        </w:rPr>
        <w:t>;</w:t>
      </w:r>
    </w:p>
    <w:p w14:paraId="76992776" w14:textId="77777777" w:rsidR="000F1011" w:rsidRPr="00DF374E" w:rsidRDefault="000F1011" w:rsidP="000F1011">
      <w:pPr>
        <w:pStyle w:val="NoSpacing"/>
        <w:numPr>
          <w:ilvl w:val="0"/>
          <w:numId w:val="21"/>
        </w:numPr>
        <w:rPr>
          <w:color w:val="000000" w:themeColor="text1"/>
        </w:rPr>
      </w:pPr>
      <w:r>
        <w:rPr>
          <w:color w:val="000000" w:themeColor="text1"/>
        </w:rPr>
        <w:t>Ensure</w:t>
      </w:r>
      <w:r w:rsidRPr="00DF374E">
        <w:rPr>
          <w:color w:val="000000" w:themeColor="text1"/>
        </w:rPr>
        <w:t xml:space="preserve"> schemes of</w:t>
      </w:r>
      <w:r>
        <w:rPr>
          <w:color w:val="000000" w:themeColor="text1"/>
        </w:rPr>
        <w:t xml:space="preserve"> work that contain enrichment/</w:t>
      </w:r>
      <w:r w:rsidRPr="00DF374E">
        <w:rPr>
          <w:color w:val="000000" w:themeColor="text1"/>
        </w:rPr>
        <w:t>extension materials for identified students</w:t>
      </w:r>
      <w:r>
        <w:rPr>
          <w:color w:val="000000" w:themeColor="text1"/>
        </w:rPr>
        <w:t>;</w:t>
      </w:r>
    </w:p>
    <w:p w14:paraId="6C8BDF63" w14:textId="77777777" w:rsidR="000F1011" w:rsidRPr="00DF374E" w:rsidRDefault="000F1011" w:rsidP="000F1011">
      <w:pPr>
        <w:pStyle w:val="NoSpacing"/>
        <w:numPr>
          <w:ilvl w:val="0"/>
          <w:numId w:val="21"/>
        </w:numPr>
        <w:rPr>
          <w:color w:val="000000" w:themeColor="text1"/>
        </w:rPr>
      </w:pPr>
      <w:r w:rsidRPr="00DF374E">
        <w:rPr>
          <w:color w:val="000000" w:themeColor="text1"/>
        </w:rPr>
        <w:t xml:space="preserve">Ensure that </w:t>
      </w:r>
      <w:r>
        <w:rPr>
          <w:color w:val="000000" w:themeColor="text1"/>
        </w:rPr>
        <w:t>enrichment/</w:t>
      </w:r>
      <w:r w:rsidRPr="00DF374E">
        <w:rPr>
          <w:color w:val="000000" w:themeColor="text1"/>
        </w:rPr>
        <w:t>extension materials are be</w:t>
      </w:r>
      <w:r>
        <w:rPr>
          <w:color w:val="000000" w:themeColor="text1"/>
        </w:rPr>
        <w:t>ing used appropriately by staff;</w:t>
      </w:r>
    </w:p>
    <w:p w14:paraId="4D05CD2E" w14:textId="77777777" w:rsidR="000F1011" w:rsidRDefault="000F1011" w:rsidP="000F1011">
      <w:pPr>
        <w:pStyle w:val="NoSpacing"/>
        <w:numPr>
          <w:ilvl w:val="0"/>
          <w:numId w:val="21"/>
        </w:numPr>
        <w:rPr>
          <w:color w:val="000000" w:themeColor="text1"/>
        </w:rPr>
      </w:pPr>
      <w:r w:rsidRPr="00DF374E">
        <w:rPr>
          <w:color w:val="000000" w:themeColor="text1"/>
        </w:rPr>
        <w:t>Encourage children to enter local and n</w:t>
      </w:r>
      <w:r>
        <w:rPr>
          <w:color w:val="000000" w:themeColor="text1"/>
        </w:rPr>
        <w:t>ational events and competitions;</w:t>
      </w:r>
    </w:p>
    <w:p w14:paraId="729D2D0F" w14:textId="77777777" w:rsidR="000F1011" w:rsidRPr="00DF374E" w:rsidRDefault="000F1011" w:rsidP="000F1011">
      <w:pPr>
        <w:pStyle w:val="NoSpacing"/>
        <w:numPr>
          <w:ilvl w:val="0"/>
          <w:numId w:val="21"/>
        </w:numPr>
        <w:rPr>
          <w:color w:val="000000" w:themeColor="text1"/>
        </w:rPr>
      </w:pPr>
      <w:r w:rsidRPr="00DF374E">
        <w:rPr>
          <w:color w:val="000000" w:themeColor="text1"/>
        </w:rPr>
        <w:t xml:space="preserve">Work with the </w:t>
      </w:r>
      <w:r>
        <w:rPr>
          <w:color w:val="000000" w:themeColor="text1"/>
        </w:rPr>
        <w:t>A</w:t>
      </w:r>
      <w:r w:rsidRPr="00DF374E">
        <w:rPr>
          <w:color w:val="000000" w:themeColor="text1"/>
        </w:rPr>
        <w:t>G</w:t>
      </w:r>
      <w:r>
        <w:rPr>
          <w:color w:val="000000" w:themeColor="text1"/>
        </w:rPr>
        <w:t>+</w:t>
      </w:r>
      <w:r w:rsidRPr="00DF374E">
        <w:rPr>
          <w:color w:val="000000" w:themeColor="text1"/>
        </w:rPr>
        <w:t>T Co-ordinator to oversee the process and activity</w:t>
      </w:r>
      <w:r>
        <w:rPr>
          <w:color w:val="000000" w:themeColor="text1"/>
        </w:rPr>
        <w:t>;</w:t>
      </w:r>
    </w:p>
    <w:p w14:paraId="12D68001" w14:textId="77777777" w:rsidR="000F1011" w:rsidRPr="00DF374E" w:rsidRDefault="000F1011" w:rsidP="000F1011">
      <w:pPr>
        <w:pStyle w:val="NoSpacing"/>
        <w:numPr>
          <w:ilvl w:val="0"/>
          <w:numId w:val="21"/>
        </w:numPr>
        <w:rPr>
          <w:color w:val="000000" w:themeColor="text1"/>
        </w:rPr>
      </w:pPr>
      <w:r w:rsidRPr="00DF374E">
        <w:rPr>
          <w:color w:val="000000" w:themeColor="text1"/>
        </w:rPr>
        <w:t xml:space="preserve">Include items concerning the provision of </w:t>
      </w:r>
      <w:r>
        <w:rPr>
          <w:color w:val="000000" w:themeColor="text1"/>
        </w:rPr>
        <w:t>A</w:t>
      </w:r>
      <w:r w:rsidRPr="00DF374E">
        <w:rPr>
          <w:color w:val="000000" w:themeColor="text1"/>
        </w:rPr>
        <w:t>G</w:t>
      </w:r>
      <w:r>
        <w:rPr>
          <w:color w:val="000000" w:themeColor="text1"/>
        </w:rPr>
        <w:t>+T children on meeting agendas; and</w:t>
      </w:r>
    </w:p>
    <w:p w14:paraId="49F95B0A" w14:textId="77777777" w:rsidR="000F1011" w:rsidRDefault="000F1011" w:rsidP="000F1011">
      <w:pPr>
        <w:pStyle w:val="NoSpacing"/>
        <w:numPr>
          <w:ilvl w:val="0"/>
          <w:numId w:val="21"/>
        </w:numPr>
        <w:rPr>
          <w:color w:val="000000" w:themeColor="text1"/>
        </w:rPr>
      </w:pPr>
      <w:r w:rsidRPr="00DF374E">
        <w:rPr>
          <w:color w:val="000000" w:themeColor="text1"/>
        </w:rPr>
        <w:t xml:space="preserve">Ensure that staff are made aware of opportunities for CPD development in supporting the needs of </w:t>
      </w:r>
      <w:r>
        <w:rPr>
          <w:color w:val="000000" w:themeColor="text1"/>
        </w:rPr>
        <w:t>AG+</w:t>
      </w:r>
      <w:r w:rsidRPr="00DF374E">
        <w:rPr>
          <w:color w:val="000000" w:themeColor="text1"/>
        </w:rPr>
        <w:t>T children.</w:t>
      </w:r>
    </w:p>
    <w:p w14:paraId="7E265CB4" w14:textId="77777777" w:rsidR="000F1011" w:rsidRDefault="000F1011" w:rsidP="000F1011">
      <w:pPr>
        <w:pStyle w:val="NoSpacing"/>
        <w:ind w:left="1080"/>
        <w:rPr>
          <w:color w:val="000000" w:themeColor="text1"/>
        </w:rPr>
      </w:pPr>
    </w:p>
    <w:p w14:paraId="20BF6FEF" w14:textId="77777777" w:rsidR="000F1011" w:rsidRDefault="000F1011" w:rsidP="000F1011">
      <w:pPr>
        <w:pStyle w:val="NoSpacing"/>
        <w:ind w:left="1080"/>
        <w:rPr>
          <w:color w:val="000000" w:themeColor="text1"/>
        </w:rPr>
      </w:pPr>
    </w:p>
    <w:p w14:paraId="6B35F81E" w14:textId="77777777" w:rsidR="000F1011" w:rsidRDefault="000F1011" w:rsidP="000F1011">
      <w:pPr>
        <w:pStyle w:val="NoSpacing"/>
        <w:rPr>
          <w:color w:val="000000" w:themeColor="text1"/>
        </w:rPr>
      </w:pPr>
    </w:p>
    <w:p w14:paraId="107C7E01" w14:textId="77777777" w:rsidR="000F1011" w:rsidRPr="00EC0447" w:rsidRDefault="000F1011" w:rsidP="000F1011">
      <w:pPr>
        <w:pStyle w:val="NoSpacing"/>
        <w:rPr>
          <w:color w:val="000000" w:themeColor="text1"/>
        </w:rPr>
      </w:pPr>
      <w:r w:rsidRPr="00EC0447">
        <w:rPr>
          <w:color w:val="000000" w:themeColor="text1"/>
        </w:rPr>
        <w:t>4.3</w:t>
      </w:r>
      <w:r w:rsidRPr="00EC0447">
        <w:rPr>
          <w:color w:val="000000" w:themeColor="text1"/>
        </w:rPr>
        <w:tab/>
        <w:t>AG+T Co-ordinator/SENDCO:</w:t>
      </w:r>
    </w:p>
    <w:p w14:paraId="12FA9D72" w14:textId="77777777" w:rsidR="000F1011" w:rsidRPr="00DF374E" w:rsidRDefault="000F1011" w:rsidP="000F1011">
      <w:pPr>
        <w:pStyle w:val="NoSpacing"/>
        <w:numPr>
          <w:ilvl w:val="0"/>
          <w:numId w:val="22"/>
        </w:numPr>
        <w:rPr>
          <w:color w:val="000000" w:themeColor="text1"/>
        </w:rPr>
      </w:pPr>
      <w:r w:rsidRPr="00DF374E">
        <w:rPr>
          <w:color w:val="000000" w:themeColor="text1"/>
        </w:rPr>
        <w:t>Pre</w:t>
      </w:r>
      <w:r>
        <w:rPr>
          <w:color w:val="000000" w:themeColor="text1"/>
        </w:rPr>
        <w:t>pare from prior attainment data</w:t>
      </w:r>
      <w:r w:rsidRPr="00DF374E">
        <w:rPr>
          <w:color w:val="000000" w:themeColor="text1"/>
        </w:rPr>
        <w:t xml:space="preserve"> a register of </w:t>
      </w:r>
      <w:r>
        <w:rPr>
          <w:color w:val="000000" w:themeColor="text1"/>
        </w:rPr>
        <w:t>the top 10% of each cohort year;</w:t>
      </w:r>
    </w:p>
    <w:p w14:paraId="3376D0EB" w14:textId="77777777" w:rsidR="000F1011" w:rsidRPr="00DF374E" w:rsidRDefault="000F1011" w:rsidP="000F1011">
      <w:pPr>
        <w:pStyle w:val="NoSpacing"/>
        <w:numPr>
          <w:ilvl w:val="0"/>
          <w:numId w:val="22"/>
        </w:numPr>
        <w:rPr>
          <w:color w:val="000000" w:themeColor="text1"/>
        </w:rPr>
      </w:pPr>
      <w:r w:rsidRPr="00DF374E">
        <w:rPr>
          <w:color w:val="000000" w:themeColor="text1"/>
        </w:rPr>
        <w:t>Gather names of identified students from all areas of the curriculum</w:t>
      </w:r>
      <w:r>
        <w:rPr>
          <w:color w:val="000000" w:themeColor="text1"/>
        </w:rPr>
        <w:t>;</w:t>
      </w:r>
    </w:p>
    <w:p w14:paraId="70398B2E" w14:textId="77777777" w:rsidR="000F1011" w:rsidRPr="00DF374E" w:rsidRDefault="000F1011" w:rsidP="000F1011">
      <w:pPr>
        <w:pStyle w:val="NoSpacing"/>
        <w:numPr>
          <w:ilvl w:val="0"/>
          <w:numId w:val="22"/>
        </w:numPr>
        <w:rPr>
          <w:color w:val="000000" w:themeColor="text1"/>
        </w:rPr>
      </w:pPr>
      <w:r w:rsidRPr="00DF374E">
        <w:rPr>
          <w:color w:val="000000" w:themeColor="text1"/>
        </w:rPr>
        <w:t>Categorise this information in a register, circulated to the Senior Leadersh</w:t>
      </w:r>
      <w:r>
        <w:rPr>
          <w:color w:val="000000" w:themeColor="text1"/>
        </w:rPr>
        <w:t>ip Team and all teaching staff;</w:t>
      </w:r>
    </w:p>
    <w:p w14:paraId="6A9D4C4F" w14:textId="77777777" w:rsidR="000F1011" w:rsidRPr="00DF374E" w:rsidRDefault="000F1011" w:rsidP="000F1011">
      <w:pPr>
        <w:pStyle w:val="NoSpacing"/>
        <w:numPr>
          <w:ilvl w:val="0"/>
          <w:numId w:val="22"/>
        </w:numPr>
        <w:rPr>
          <w:color w:val="000000" w:themeColor="text1"/>
        </w:rPr>
      </w:pPr>
      <w:r w:rsidRPr="00DF374E">
        <w:rPr>
          <w:color w:val="000000" w:themeColor="text1"/>
        </w:rPr>
        <w:t>Meet with Heads of Dep</w:t>
      </w:r>
      <w:r>
        <w:rPr>
          <w:color w:val="000000" w:themeColor="text1"/>
        </w:rPr>
        <w:t>artment and Heads of School</w:t>
      </w:r>
      <w:r w:rsidRPr="00DF374E">
        <w:rPr>
          <w:color w:val="000000" w:themeColor="text1"/>
        </w:rPr>
        <w:t xml:space="preserve"> biannual</w:t>
      </w:r>
      <w:r>
        <w:rPr>
          <w:color w:val="000000" w:themeColor="text1"/>
        </w:rPr>
        <w:t>ly</w:t>
      </w:r>
      <w:r w:rsidRPr="00DF374E">
        <w:rPr>
          <w:color w:val="000000" w:themeColor="text1"/>
        </w:rPr>
        <w:t xml:space="preserve"> to review provis</w:t>
      </w:r>
      <w:r>
        <w:rPr>
          <w:color w:val="000000" w:themeColor="text1"/>
        </w:rPr>
        <w:t>ion within departments;</w:t>
      </w:r>
      <w:r w:rsidRPr="00DF374E">
        <w:rPr>
          <w:color w:val="000000" w:themeColor="text1"/>
        </w:rPr>
        <w:t xml:space="preserve"> </w:t>
      </w:r>
    </w:p>
    <w:p w14:paraId="2F85626B" w14:textId="77777777" w:rsidR="000F1011" w:rsidRPr="00DF374E" w:rsidRDefault="000F1011" w:rsidP="000F1011">
      <w:pPr>
        <w:pStyle w:val="NoSpacing"/>
        <w:numPr>
          <w:ilvl w:val="0"/>
          <w:numId w:val="22"/>
        </w:numPr>
        <w:rPr>
          <w:color w:val="000000" w:themeColor="text1"/>
        </w:rPr>
      </w:pPr>
      <w:r w:rsidRPr="00DF374E">
        <w:rPr>
          <w:color w:val="000000" w:themeColor="text1"/>
        </w:rPr>
        <w:t>Prepare courses of action for children who are identified as able in many areas (by ag</w:t>
      </w:r>
      <w:r>
        <w:rPr>
          <w:color w:val="000000" w:themeColor="text1"/>
        </w:rPr>
        <w:t>reement with senior management);</w:t>
      </w:r>
    </w:p>
    <w:p w14:paraId="2B1D760B" w14:textId="77777777" w:rsidR="000F1011" w:rsidRPr="00DF374E" w:rsidRDefault="000F1011" w:rsidP="000F1011">
      <w:pPr>
        <w:pStyle w:val="NoSpacing"/>
        <w:numPr>
          <w:ilvl w:val="0"/>
          <w:numId w:val="22"/>
        </w:numPr>
        <w:rPr>
          <w:color w:val="000000" w:themeColor="text1"/>
        </w:rPr>
      </w:pPr>
      <w:r w:rsidRPr="00DF374E">
        <w:rPr>
          <w:color w:val="000000" w:themeColor="text1"/>
        </w:rPr>
        <w:t xml:space="preserve">Monitor the provision of </w:t>
      </w:r>
      <w:r>
        <w:rPr>
          <w:color w:val="000000" w:themeColor="text1"/>
        </w:rPr>
        <w:t>A</w:t>
      </w:r>
      <w:r w:rsidRPr="00DF374E">
        <w:rPr>
          <w:color w:val="000000" w:themeColor="text1"/>
        </w:rPr>
        <w:t>G</w:t>
      </w:r>
      <w:r>
        <w:rPr>
          <w:color w:val="000000" w:themeColor="text1"/>
        </w:rPr>
        <w:t>+</w:t>
      </w:r>
      <w:r w:rsidRPr="00DF374E">
        <w:rPr>
          <w:color w:val="000000" w:themeColor="text1"/>
        </w:rPr>
        <w:t>T students</w:t>
      </w:r>
      <w:r>
        <w:rPr>
          <w:color w:val="000000" w:themeColor="text1"/>
        </w:rPr>
        <w:t>;</w:t>
      </w:r>
    </w:p>
    <w:p w14:paraId="24464F4D" w14:textId="77777777" w:rsidR="000F1011" w:rsidRPr="00DF374E" w:rsidRDefault="000F1011" w:rsidP="000F1011">
      <w:pPr>
        <w:pStyle w:val="NoSpacing"/>
        <w:numPr>
          <w:ilvl w:val="0"/>
          <w:numId w:val="22"/>
        </w:numPr>
        <w:rPr>
          <w:color w:val="000000" w:themeColor="text1"/>
        </w:rPr>
      </w:pPr>
      <w:r w:rsidRPr="00DF374E">
        <w:rPr>
          <w:color w:val="000000" w:themeColor="text1"/>
        </w:rPr>
        <w:t xml:space="preserve">Evaluate the progress made by </w:t>
      </w:r>
      <w:r>
        <w:rPr>
          <w:color w:val="000000" w:themeColor="text1"/>
        </w:rPr>
        <w:t>A</w:t>
      </w:r>
      <w:r w:rsidRPr="00DF374E">
        <w:rPr>
          <w:color w:val="000000" w:themeColor="text1"/>
        </w:rPr>
        <w:t>G</w:t>
      </w:r>
      <w:r>
        <w:rPr>
          <w:color w:val="000000" w:themeColor="text1"/>
        </w:rPr>
        <w:t>+T students on an annual basis; and</w:t>
      </w:r>
    </w:p>
    <w:p w14:paraId="385D0581" w14:textId="77777777" w:rsidR="000F1011" w:rsidRPr="00DF374E" w:rsidRDefault="000F1011" w:rsidP="000F1011">
      <w:pPr>
        <w:pStyle w:val="NoSpacing"/>
        <w:numPr>
          <w:ilvl w:val="0"/>
          <w:numId w:val="22"/>
        </w:numPr>
        <w:rPr>
          <w:color w:val="000000" w:themeColor="text1"/>
        </w:rPr>
      </w:pPr>
      <w:r>
        <w:rPr>
          <w:color w:val="000000" w:themeColor="text1"/>
        </w:rPr>
        <w:t>Lead/</w:t>
      </w:r>
      <w:r w:rsidRPr="00DF374E">
        <w:rPr>
          <w:color w:val="000000" w:themeColor="text1"/>
        </w:rPr>
        <w:t>co-ordinate challenge focus groups</w:t>
      </w:r>
      <w:r>
        <w:rPr>
          <w:color w:val="000000" w:themeColor="text1"/>
        </w:rPr>
        <w:t>.</w:t>
      </w:r>
      <w:r w:rsidRPr="00DF374E">
        <w:rPr>
          <w:color w:val="000000" w:themeColor="text1"/>
        </w:rPr>
        <w:t xml:space="preserve"> </w:t>
      </w:r>
    </w:p>
    <w:p w14:paraId="1F4A4B24" w14:textId="77777777" w:rsidR="00DC0417" w:rsidRPr="00DF374E" w:rsidRDefault="00DC0417" w:rsidP="00DC0417">
      <w:pPr>
        <w:pStyle w:val="NoSpacing"/>
        <w:numPr>
          <w:ilvl w:val="0"/>
          <w:numId w:val="21"/>
        </w:numPr>
        <w:rPr>
          <w:b/>
          <w:color w:val="000000" w:themeColor="text1"/>
        </w:rPr>
      </w:pPr>
      <w:r w:rsidRPr="00DF374E">
        <w:rPr>
          <w:color w:val="000000" w:themeColor="text1"/>
        </w:rPr>
        <w:t>Pass these names on to the AG</w:t>
      </w:r>
      <w:r>
        <w:rPr>
          <w:color w:val="000000" w:themeColor="text1"/>
        </w:rPr>
        <w:t>+</w:t>
      </w:r>
      <w:r w:rsidRPr="00DF374E">
        <w:rPr>
          <w:color w:val="000000" w:themeColor="text1"/>
        </w:rPr>
        <w:t>T Co-ordinator</w:t>
      </w:r>
      <w:r>
        <w:rPr>
          <w:color w:val="000000" w:themeColor="text1"/>
        </w:rPr>
        <w:t>;</w:t>
      </w:r>
    </w:p>
    <w:p w14:paraId="00315CA7" w14:textId="54EB7E7E" w:rsidR="00DC0417" w:rsidRPr="00DF374E" w:rsidRDefault="00DC0417" w:rsidP="00DC0417">
      <w:pPr>
        <w:pStyle w:val="NoSpacing"/>
        <w:numPr>
          <w:ilvl w:val="0"/>
          <w:numId w:val="21"/>
        </w:numPr>
        <w:rPr>
          <w:color w:val="000000" w:themeColor="text1"/>
        </w:rPr>
      </w:pPr>
      <w:r w:rsidRPr="00DF374E">
        <w:rPr>
          <w:color w:val="000000" w:themeColor="text1"/>
        </w:rPr>
        <w:t>Provide schemes of</w:t>
      </w:r>
      <w:r>
        <w:rPr>
          <w:color w:val="000000" w:themeColor="text1"/>
        </w:rPr>
        <w:t xml:space="preserve"> work that contain enrichment/</w:t>
      </w:r>
      <w:r w:rsidRPr="00DF374E">
        <w:rPr>
          <w:color w:val="000000" w:themeColor="text1"/>
        </w:rPr>
        <w:t xml:space="preserve">extension materials for identified </w:t>
      </w:r>
      <w:r w:rsidR="00573739">
        <w:rPr>
          <w:color w:val="000000" w:themeColor="text1"/>
        </w:rPr>
        <w:t>pupil</w:t>
      </w:r>
      <w:r w:rsidR="00573739" w:rsidRPr="00DF374E">
        <w:rPr>
          <w:color w:val="000000" w:themeColor="text1"/>
        </w:rPr>
        <w:t>s</w:t>
      </w:r>
      <w:r>
        <w:rPr>
          <w:color w:val="000000" w:themeColor="text1"/>
        </w:rPr>
        <w:t>;</w:t>
      </w:r>
    </w:p>
    <w:p w14:paraId="00BC2B78" w14:textId="77777777" w:rsidR="00DC0417" w:rsidRPr="00DF374E" w:rsidRDefault="00DC0417" w:rsidP="00DC0417">
      <w:pPr>
        <w:pStyle w:val="NoSpacing"/>
        <w:numPr>
          <w:ilvl w:val="0"/>
          <w:numId w:val="21"/>
        </w:numPr>
        <w:rPr>
          <w:color w:val="000000" w:themeColor="text1"/>
        </w:rPr>
      </w:pPr>
      <w:r w:rsidRPr="00DF374E">
        <w:rPr>
          <w:color w:val="000000" w:themeColor="text1"/>
        </w:rPr>
        <w:t xml:space="preserve">Ensure that </w:t>
      </w:r>
      <w:r>
        <w:rPr>
          <w:color w:val="000000" w:themeColor="text1"/>
        </w:rPr>
        <w:t>enrichment/</w:t>
      </w:r>
      <w:r w:rsidRPr="00DF374E">
        <w:rPr>
          <w:color w:val="000000" w:themeColor="text1"/>
        </w:rPr>
        <w:t>extension materials are be</w:t>
      </w:r>
      <w:r>
        <w:rPr>
          <w:color w:val="000000" w:themeColor="text1"/>
        </w:rPr>
        <w:t>ing used appropriately by staff; and</w:t>
      </w:r>
    </w:p>
    <w:p w14:paraId="4DDC41EF" w14:textId="77777777" w:rsidR="00DC0417" w:rsidRPr="00DF374E" w:rsidRDefault="00DC0417" w:rsidP="00DC0417">
      <w:pPr>
        <w:pStyle w:val="NoSpacing"/>
        <w:numPr>
          <w:ilvl w:val="0"/>
          <w:numId w:val="21"/>
        </w:numPr>
        <w:rPr>
          <w:color w:val="000000" w:themeColor="text1"/>
        </w:rPr>
      </w:pPr>
      <w:r w:rsidRPr="00DF374E">
        <w:rPr>
          <w:color w:val="000000" w:themeColor="text1"/>
        </w:rPr>
        <w:t>Encourage children to enter local and national events and competitions.</w:t>
      </w:r>
    </w:p>
    <w:p w14:paraId="15DA3D8A" w14:textId="77777777" w:rsidR="00DC0417" w:rsidRPr="00DF374E" w:rsidRDefault="00DC0417" w:rsidP="00DC0417">
      <w:pPr>
        <w:pStyle w:val="NoSpacing"/>
        <w:rPr>
          <w:color w:val="000000" w:themeColor="text1"/>
        </w:rPr>
      </w:pPr>
    </w:p>
    <w:p w14:paraId="69A70765" w14:textId="5443C260" w:rsidR="00FA047A" w:rsidRDefault="00DC0417" w:rsidP="00DC0417">
      <w:pPr>
        <w:pStyle w:val="Heading1"/>
      </w:pPr>
      <w:r>
        <w:t>Coordination and M</w:t>
      </w:r>
      <w:r w:rsidRPr="00220C49">
        <w:t>onitoring</w:t>
      </w:r>
    </w:p>
    <w:p w14:paraId="7891775F" w14:textId="527AFA36" w:rsidR="00DC0417" w:rsidRDefault="00DC0417" w:rsidP="00DC0417">
      <w:pPr>
        <w:pStyle w:val="Heading2"/>
      </w:pPr>
      <w:r w:rsidRPr="00DF374E">
        <w:t>The Able, Gifted and Talented Register for pupils is coordinated by</w:t>
      </w:r>
      <w:r w:rsidR="000F1011" w:rsidRPr="000F1011">
        <w:t xml:space="preserve"> </w:t>
      </w:r>
      <w:r w:rsidR="000F1011">
        <w:t>the Inclusion Manager.</w:t>
      </w:r>
      <w:r w:rsidRPr="00DF374E">
        <w:t xml:space="preserve"> The Register is reviewed on a</w:t>
      </w:r>
      <w:r w:rsidR="000F1011">
        <w:t xml:space="preserve"> termly basis</w:t>
      </w:r>
      <w:r w:rsidRPr="00DF374E">
        <w:t>, in association with pupil progress, dep</w:t>
      </w:r>
      <w:r w:rsidR="000F1011">
        <w:t>artmental and/or staff meetings.</w:t>
      </w:r>
    </w:p>
    <w:p w14:paraId="3E1AC115" w14:textId="77777777" w:rsidR="00DC0417" w:rsidRPr="00DC0417" w:rsidRDefault="00DC0417" w:rsidP="00DC0417">
      <w:pPr>
        <w:pStyle w:val="NoSpacing"/>
      </w:pPr>
    </w:p>
    <w:p w14:paraId="7F9D64C1" w14:textId="33C0FA87" w:rsidR="00DC0417" w:rsidRDefault="00DC0417" w:rsidP="00DC0417">
      <w:pPr>
        <w:pStyle w:val="Heading2"/>
      </w:pPr>
      <w:r w:rsidRPr="00DF374E">
        <w:t>Talents and abilities emerge at different times due to developmental issues, and as new opportunities arise, therefore, inclusion in the cohort is not permanent. If it is perceived by parties that inclusion is no longer beneficial, pupils may b</w:t>
      </w:r>
      <w:r>
        <w:t>e moved off, either temporarily</w:t>
      </w:r>
      <w:r w:rsidRPr="00DF374E">
        <w:t xml:space="preserve"> or permanently. Such changes to the register will be discussed in parallel with the pupil and parents. </w:t>
      </w:r>
    </w:p>
    <w:p w14:paraId="0D57DE0B" w14:textId="77777777" w:rsidR="00DC0417" w:rsidRPr="00DC0417" w:rsidRDefault="00DC0417" w:rsidP="00DC0417">
      <w:pPr>
        <w:pStyle w:val="NoSpacing"/>
      </w:pPr>
    </w:p>
    <w:p w14:paraId="542F3A05" w14:textId="0D76DF39" w:rsidR="00DC0417" w:rsidRPr="00DF374E" w:rsidRDefault="00DC0417" w:rsidP="00DC0417">
      <w:pPr>
        <w:pStyle w:val="Heading2"/>
      </w:pPr>
      <w:r w:rsidRPr="00DF374E">
        <w:t>We recognise that some pupils who are able, gifted or talented do not always show their ability. This may arise from learning difficulties such as dyslexia, or personal circumstances. The school aims to work with support pro</w:t>
      </w:r>
      <w:r>
        <w:t>grammes and parents to ensure a</w:t>
      </w:r>
      <w:r w:rsidRPr="00DF374E">
        <w:t xml:space="preserve"> consistent achievement at the appropriate level for each child.</w:t>
      </w:r>
    </w:p>
    <w:p w14:paraId="47D38F2C" w14:textId="77777777" w:rsidR="00FA047A" w:rsidRDefault="00FA047A" w:rsidP="00FA047A">
      <w:pPr>
        <w:pStyle w:val="NoSpacing"/>
      </w:pPr>
    </w:p>
    <w:p w14:paraId="408A05F6" w14:textId="4C91FCAF" w:rsidR="00DC0417" w:rsidRPr="00DF374E" w:rsidRDefault="00DC0417" w:rsidP="00DC0417">
      <w:pPr>
        <w:pStyle w:val="Heading1"/>
      </w:pPr>
      <w:r>
        <w:t>Strategies for T</w:t>
      </w:r>
      <w:r w:rsidRPr="00DF374E">
        <w:t>eaching</w:t>
      </w:r>
    </w:p>
    <w:p w14:paraId="0A138FED" w14:textId="20B36F56" w:rsidR="00DC0417" w:rsidRPr="00DF374E" w:rsidRDefault="00DC0417" w:rsidP="00DC0417">
      <w:pPr>
        <w:pStyle w:val="Heading2"/>
      </w:pPr>
      <w:r w:rsidRPr="00DF374E">
        <w:t>We offer</w:t>
      </w:r>
      <w:r>
        <w:t xml:space="preserve"> opportunities for able, gifted and</w:t>
      </w:r>
      <w:r w:rsidRPr="00DF374E">
        <w:t xml:space="preserve"> talented pupils to thrive through:</w:t>
      </w:r>
    </w:p>
    <w:p w14:paraId="2B853D9B" w14:textId="77777777" w:rsidR="00DC0417" w:rsidRPr="00DF374E" w:rsidRDefault="00DC0417" w:rsidP="00DC0417">
      <w:pPr>
        <w:pStyle w:val="NoSpacing"/>
        <w:numPr>
          <w:ilvl w:val="0"/>
          <w:numId w:val="24"/>
        </w:numPr>
      </w:pPr>
      <w:r w:rsidRPr="00DF374E">
        <w:t>An enriched, stimulating and relevant curriculum</w:t>
      </w:r>
      <w:r>
        <w:t>;</w:t>
      </w:r>
    </w:p>
    <w:p w14:paraId="31993A3A" w14:textId="77777777" w:rsidR="00DC0417" w:rsidRPr="00DF374E" w:rsidRDefault="00DC0417" w:rsidP="00DC0417">
      <w:pPr>
        <w:pStyle w:val="NoSpacing"/>
        <w:numPr>
          <w:ilvl w:val="0"/>
          <w:numId w:val="24"/>
        </w:numPr>
      </w:pPr>
      <w:r w:rsidRPr="00DF374E">
        <w:t>Regular reinforcement of high expectations, e.g. with a Challenge Wall</w:t>
      </w:r>
      <w:r>
        <w:t>;</w:t>
      </w:r>
    </w:p>
    <w:p w14:paraId="5E5B9185" w14:textId="77777777" w:rsidR="00DC0417" w:rsidRPr="00DF374E" w:rsidRDefault="00DC0417" w:rsidP="00DC0417">
      <w:pPr>
        <w:pStyle w:val="NoSpacing"/>
        <w:numPr>
          <w:ilvl w:val="0"/>
          <w:numId w:val="24"/>
        </w:numPr>
      </w:pPr>
      <w:r w:rsidRPr="00DF374E">
        <w:t>Opportunities for pupils to work outside their usual working environment</w:t>
      </w:r>
      <w:r>
        <w:t>,</w:t>
      </w:r>
      <w:r w:rsidRPr="00DF374E">
        <w:t xml:space="preserve"> where possible (e.g. regional enrichment events or workshops)</w:t>
      </w:r>
      <w:r>
        <w:t>;</w:t>
      </w:r>
    </w:p>
    <w:p w14:paraId="79EA7BF8" w14:textId="77777777" w:rsidR="00DC0417" w:rsidRPr="00DF374E" w:rsidRDefault="00DC0417" w:rsidP="00DC0417">
      <w:pPr>
        <w:pStyle w:val="NoSpacing"/>
        <w:numPr>
          <w:ilvl w:val="0"/>
          <w:numId w:val="24"/>
        </w:numPr>
      </w:pPr>
      <w:r w:rsidRPr="00DF374E">
        <w:t>Independent and collaborative learning activities</w:t>
      </w:r>
      <w:r>
        <w:t>;</w:t>
      </w:r>
    </w:p>
    <w:p w14:paraId="33A2E56F" w14:textId="77777777" w:rsidR="00DC0417" w:rsidRPr="00DF374E" w:rsidRDefault="00DC0417" w:rsidP="00DC0417">
      <w:pPr>
        <w:pStyle w:val="NoSpacing"/>
        <w:numPr>
          <w:ilvl w:val="0"/>
          <w:numId w:val="24"/>
        </w:numPr>
      </w:pPr>
      <w:r w:rsidRPr="00DF374E">
        <w:t>The focus on thinking and study skills, including metacognition</w:t>
      </w:r>
      <w:r>
        <w:t>;</w:t>
      </w:r>
    </w:p>
    <w:p w14:paraId="0B48B569" w14:textId="77777777" w:rsidR="00DC0417" w:rsidRPr="00DF374E" w:rsidRDefault="00DC0417" w:rsidP="00DC0417">
      <w:pPr>
        <w:pStyle w:val="NoSpacing"/>
        <w:numPr>
          <w:ilvl w:val="0"/>
          <w:numId w:val="24"/>
        </w:numPr>
      </w:pPr>
      <w:r w:rsidRPr="00DF374E">
        <w:t xml:space="preserve">Pupils self-assessing </w:t>
      </w:r>
      <w:r>
        <w:t xml:space="preserve">and </w:t>
      </w:r>
      <w:r w:rsidRPr="00DF374E">
        <w:t>evaluating their own work</w:t>
      </w:r>
      <w:r>
        <w:t>; and</w:t>
      </w:r>
      <w:r w:rsidRPr="00DF374E">
        <w:t xml:space="preserve">  </w:t>
      </w:r>
    </w:p>
    <w:p w14:paraId="7F6427B3" w14:textId="77777777" w:rsidR="00DC0417" w:rsidRPr="00DF374E" w:rsidRDefault="00DC0417" w:rsidP="00DC0417">
      <w:pPr>
        <w:pStyle w:val="NoSpacing"/>
        <w:numPr>
          <w:ilvl w:val="0"/>
          <w:numId w:val="24"/>
        </w:numPr>
      </w:pPr>
      <w:r w:rsidRPr="00DF374E">
        <w:t>Encouraging risk-taking and the experience of setbacks to develop resilience</w:t>
      </w:r>
      <w:r>
        <w:t>.</w:t>
      </w:r>
    </w:p>
    <w:p w14:paraId="405404D3" w14:textId="77777777" w:rsidR="00DC0417" w:rsidRPr="00DF374E" w:rsidRDefault="00DC0417" w:rsidP="00DC0417">
      <w:pPr>
        <w:pStyle w:val="NoSpacing"/>
      </w:pPr>
    </w:p>
    <w:p w14:paraId="7249E3CC" w14:textId="6706B59C" w:rsidR="00DC0417" w:rsidRPr="00F042B8" w:rsidRDefault="00DC0417" w:rsidP="00DC0417">
      <w:pPr>
        <w:pStyle w:val="Heading1"/>
      </w:pPr>
      <w:r w:rsidRPr="00F042B8">
        <w:t xml:space="preserve">Extension, </w:t>
      </w:r>
      <w:r>
        <w:t>Acceleration</w:t>
      </w:r>
      <w:r w:rsidRPr="00F042B8">
        <w:t xml:space="preserve"> and </w:t>
      </w:r>
      <w:r>
        <w:t>E</w:t>
      </w:r>
      <w:r w:rsidRPr="00F042B8">
        <w:t>nrichment</w:t>
      </w:r>
    </w:p>
    <w:p w14:paraId="17B4FE73" w14:textId="565B6203" w:rsidR="00DC0417" w:rsidRDefault="00DC0417" w:rsidP="00DC0417">
      <w:pPr>
        <w:pStyle w:val="Heading2"/>
      </w:pPr>
      <w:r w:rsidRPr="00DF374E">
        <w:t>Opportunities to broaden pupils’ learning experiences may include:</w:t>
      </w:r>
    </w:p>
    <w:p w14:paraId="159246A4" w14:textId="77777777" w:rsidR="00DC0417" w:rsidRDefault="00DC0417" w:rsidP="00DC0417">
      <w:pPr>
        <w:pStyle w:val="NoSpacing"/>
        <w:numPr>
          <w:ilvl w:val="0"/>
          <w:numId w:val="26"/>
        </w:numPr>
      </w:pPr>
      <w:r w:rsidRPr="00DF374E">
        <w:t>Differentiation, where pupils may be grouped according to ability, and differentiated work is built into schemes of work and lesson plans to provide activities requiring extende</w:t>
      </w:r>
      <w:r>
        <w:t>d higher order thinking skills;</w:t>
      </w:r>
    </w:p>
    <w:p w14:paraId="27ACB249" w14:textId="77777777" w:rsidR="00DC0417" w:rsidRPr="00DF374E" w:rsidRDefault="00DC0417" w:rsidP="00DC0417">
      <w:pPr>
        <w:pStyle w:val="NoSpacing"/>
        <w:numPr>
          <w:ilvl w:val="0"/>
          <w:numId w:val="26"/>
        </w:numPr>
      </w:pPr>
      <w:r w:rsidRPr="00DF374E">
        <w:t xml:space="preserve">Working on subject matter which would typically be for older pupils to access broader knowledge and develop more sophisticated </w:t>
      </w:r>
      <w:r>
        <w:t xml:space="preserve">thinking and reasoning skills. This may be </w:t>
      </w:r>
      <w:r w:rsidRPr="00DF374E">
        <w:t>through</w:t>
      </w:r>
      <w:r>
        <w:t xml:space="preserve"> either</w:t>
      </w:r>
      <w:r w:rsidRPr="00DF374E">
        <w:t xml:space="preserve"> giving pupils work which would usually be given to older pupils, or moving pupils up</w:t>
      </w:r>
      <w:r>
        <w:t xml:space="preserve"> a year group, where practical;</w:t>
      </w:r>
    </w:p>
    <w:p w14:paraId="2740508B" w14:textId="77777777" w:rsidR="00DC0417" w:rsidRPr="00DF374E" w:rsidRDefault="00DC0417" w:rsidP="00DC0417">
      <w:pPr>
        <w:pStyle w:val="NoSpacing"/>
        <w:numPr>
          <w:ilvl w:val="0"/>
          <w:numId w:val="26"/>
        </w:numPr>
        <w:rPr>
          <w:color w:val="000000" w:themeColor="text1"/>
        </w:rPr>
      </w:pPr>
      <w:r w:rsidRPr="00DF374E">
        <w:t xml:space="preserve">Enabling a pupil to study aspects of </w:t>
      </w:r>
      <w:r>
        <w:t xml:space="preserve">a </w:t>
      </w:r>
      <w:r w:rsidRPr="00DF374E">
        <w:t xml:space="preserve">topic that there would not normally be time to study, or </w:t>
      </w:r>
      <w:r w:rsidRPr="00DF374E">
        <w:rPr>
          <w:color w:val="000000" w:themeColor="text1"/>
        </w:rPr>
        <w:t>adding extra subjects or specialised calendar events to the curriculum or extra-</w:t>
      </w:r>
      <w:r>
        <w:rPr>
          <w:color w:val="000000" w:themeColor="text1"/>
        </w:rPr>
        <w:t>curricular activities programme; and</w:t>
      </w:r>
    </w:p>
    <w:p w14:paraId="695EBCE9" w14:textId="77777777" w:rsidR="00DC0417" w:rsidRPr="002057A4" w:rsidRDefault="00DC0417" w:rsidP="00DC0417">
      <w:pPr>
        <w:pStyle w:val="NoSpacing"/>
        <w:numPr>
          <w:ilvl w:val="0"/>
          <w:numId w:val="26"/>
        </w:numPr>
        <w:rPr>
          <w:b/>
          <w:color w:val="000000" w:themeColor="text1"/>
        </w:rPr>
      </w:pPr>
      <w:r w:rsidRPr="00DF374E">
        <w:rPr>
          <w:color w:val="000000" w:themeColor="text1"/>
        </w:rPr>
        <w:t>Partnership with other schools or external organisations, for example workshop events, specialised holiday camps,</w:t>
      </w:r>
      <w:r>
        <w:rPr>
          <w:color w:val="000000" w:themeColor="text1"/>
        </w:rPr>
        <w:t xml:space="preserve"> and</w:t>
      </w:r>
      <w:r w:rsidRPr="00DF374E">
        <w:rPr>
          <w:color w:val="000000" w:themeColor="text1"/>
        </w:rPr>
        <w:t xml:space="preserve"> local, regional and national schemes/competitions. </w:t>
      </w:r>
    </w:p>
    <w:p w14:paraId="72821D5E" w14:textId="77777777" w:rsidR="00DC0417" w:rsidRPr="00DF374E" w:rsidRDefault="00DC0417" w:rsidP="00DC0417">
      <w:pPr>
        <w:pStyle w:val="NoSpacing"/>
      </w:pPr>
    </w:p>
    <w:p w14:paraId="04ADA07B" w14:textId="0B16AC00" w:rsidR="00DC0417" w:rsidRPr="00DF374E" w:rsidRDefault="00DC0417" w:rsidP="00DC0417">
      <w:pPr>
        <w:pStyle w:val="Heading1"/>
      </w:pPr>
      <w:r w:rsidRPr="00DF374E">
        <w:t>NACE (National Association for Able Children in Education)</w:t>
      </w:r>
    </w:p>
    <w:p w14:paraId="47CD00AD" w14:textId="59C0D7F3" w:rsidR="000F1011" w:rsidRPr="000F1011" w:rsidRDefault="000F1011" w:rsidP="000F1011">
      <w:pPr>
        <w:pStyle w:val="Heading1"/>
        <w:rPr>
          <w:rFonts w:asciiTheme="minorHAnsi" w:hAnsiTheme="minorHAnsi"/>
          <w:b w:val="0"/>
          <w:bCs w:val="0"/>
          <w:color w:val="000000" w:themeColor="text1"/>
          <w:szCs w:val="22"/>
        </w:rPr>
      </w:pPr>
      <w:r w:rsidRPr="000F1011">
        <w:rPr>
          <w:rFonts w:asciiTheme="minorHAnsi" w:hAnsiTheme="minorHAnsi"/>
          <w:b w:val="0"/>
          <w:bCs w:val="0"/>
          <w:color w:val="000000" w:themeColor="text1"/>
          <w:szCs w:val="22"/>
        </w:rPr>
        <w:t>The school is a member of NACE and therefore has access to resources for AG+T students, as well as CPD opportunities for targeted staff members.</w:t>
      </w:r>
    </w:p>
    <w:p w14:paraId="56296017" w14:textId="77777777" w:rsidR="000F1011" w:rsidRPr="000F1011" w:rsidRDefault="000F1011" w:rsidP="000F1011">
      <w:pPr>
        <w:pStyle w:val="NoSpacing"/>
        <w:rPr>
          <w:color w:val="000000" w:themeColor="text1"/>
        </w:rPr>
      </w:pPr>
    </w:p>
    <w:p w14:paraId="2F432F2F" w14:textId="03563BBB" w:rsidR="00DC0417" w:rsidRPr="00DF374E" w:rsidRDefault="00DC0417" w:rsidP="00DC0417">
      <w:pPr>
        <w:pStyle w:val="Heading1"/>
      </w:pPr>
      <w:r>
        <w:t>Success C</w:t>
      </w:r>
      <w:r w:rsidRPr="00DF374E">
        <w:t>riteria</w:t>
      </w:r>
    </w:p>
    <w:p w14:paraId="3F75DC1D" w14:textId="1576CCDF" w:rsidR="00DC0417" w:rsidRPr="00DF374E" w:rsidRDefault="00DC0417" w:rsidP="00DC0417">
      <w:pPr>
        <w:pStyle w:val="Heading2"/>
      </w:pPr>
      <w:r w:rsidRPr="00DF374E">
        <w:t>The success of this policy is measured by qualitative and quantitative evidence of</w:t>
      </w:r>
      <w:r>
        <w:t xml:space="preserve"> an</w:t>
      </w:r>
      <w:r w:rsidRPr="00DF374E">
        <w:t xml:space="preserve"> individual pupil’s progress and the development of the Able, Gifted and Talented Register as a whole. This includes: </w:t>
      </w:r>
    </w:p>
    <w:p w14:paraId="278A2DA9" w14:textId="77777777" w:rsidR="00DC0417" w:rsidRPr="00DF374E" w:rsidRDefault="00DC0417" w:rsidP="00DC0417">
      <w:pPr>
        <w:pStyle w:val="NoSpacing"/>
        <w:numPr>
          <w:ilvl w:val="0"/>
          <w:numId w:val="25"/>
        </w:numPr>
      </w:pPr>
      <w:r w:rsidRPr="00DF374E">
        <w:t>Improved attainment in the areas in which they are able, gifted or talented</w:t>
      </w:r>
      <w:r>
        <w:t>;</w:t>
      </w:r>
    </w:p>
    <w:p w14:paraId="7B068029" w14:textId="77777777" w:rsidR="00DC0417" w:rsidRPr="00DF374E" w:rsidRDefault="00DC0417" w:rsidP="00DC0417">
      <w:pPr>
        <w:pStyle w:val="NoSpacing"/>
        <w:numPr>
          <w:ilvl w:val="0"/>
          <w:numId w:val="25"/>
        </w:numPr>
      </w:pPr>
      <w:r w:rsidRPr="00DF374E">
        <w:t>Increasing active involvement by pupils in assessment of their own progress and target setting</w:t>
      </w:r>
      <w:r>
        <w:t>;</w:t>
      </w:r>
    </w:p>
    <w:p w14:paraId="436FA7F2" w14:textId="77777777" w:rsidR="00DC0417" w:rsidRPr="00DF374E" w:rsidRDefault="00DC0417" w:rsidP="00DC0417">
      <w:pPr>
        <w:pStyle w:val="NoSpacing"/>
        <w:numPr>
          <w:ilvl w:val="0"/>
          <w:numId w:val="25"/>
        </w:numPr>
      </w:pPr>
      <w:r w:rsidRPr="00DF374E">
        <w:t>Increasing higher level questions being asked by pupils</w:t>
      </w:r>
      <w:r>
        <w:t>;</w:t>
      </w:r>
    </w:p>
    <w:p w14:paraId="2D8ABCEA" w14:textId="77777777" w:rsidR="00DC0417" w:rsidRPr="00DF374E" w:rsidRDefault="00DC0417" w:rsidP="00DC0417">
      <w:pPr>
        <w:pStyle w:val="NoSpacing"/>
        <w:numPr>
          <w:ilvl w:val="0"/>
          <w:numId w:val="25"/>
        </w:numPr>
      </w:pPr>
      <w:r w:rsidRPr="00DF374E">
        <w:t>Increasing levels of independent learning</w:t>
      </w:r>
      <w:r>
        <w:t>,</w:t>
      </w:r>
      <w:r w:rsidRPr="00DF374E">
        <w:t xml:space="preserve"> including risk taking in learning</w:t>
      </w:r>
      <w:r>
        <w:t>; and</w:t>
      </w:r>
    </w:p>
    <w:p w14:paraId="3E7E3A38" w14:textId="77777777" w:rsidR="00DC0417" w:rsidRPr="00DF374E" w:rsidRDefault="00DC0417" w:rsidP="00DC0417">
      <w:pPr>
        <w:pStyle w:val="NoSpacing"/>
        <w:numPr>
          <w:ilvl w:val="0"/>
          <w:numId w:val="25"/>
        </w:numPr>
      </w:pPr>
      <w:r w:rsidRPr="00DF374E">
        <w:t>Increasing confidence and improving attitudes to learning</w:t>
      </w:r>
      <w:r>
        <w:t>.</w:t>
      </w:r>
    </w:p>
    <w:p w14:paraId="1A2870E4" w14:textId="77777777" w:rsidR="00FA047A" w:rsidRDefault="00FA047A" w:rsidP="00FA047A">
      <w:pPr>
        <w:pStyle w:val="NoSpacing"/>
      </w:pPr>
    </w:p>
    <w:p w14:paraId="65C54B84" w14:textId="77777777" w:rsidR="00B8081C" w:rsidRDefault="00B8081C" w:rsidP="00B51F43">
      <w:pPr>
        <w:rPr>
          <w:rFonts w:ascii="Arial" w:hAnsi="Arial" w:cs="Arial"/>
        </w:rPr>
      </w:pPr>
    </w:p>
    <w:p w14:paraId="34205118" w14:textId="77777777" w:rsidR="00B51F43" w:rsidRPr="00B8081C" w:rsidRDefault="00B51F43" w:rsidP="00B51F43">
      <w:pPr>
        <w:rPr>
          <w:rFonts w:ascii="Arial" w:hAnsi="Arial" w:cs="Arial"/>
        </w:rPr>
      </w:pPr>
    </w:p>
    <w:tbl>
      <w:tblPr>
        <w:tblStyle w:val="TableGrid"/>
        <w:tblW w:w="0" w:type="auto"/>
        <w:tblLook w:val="04A0" w:firstRow="1" w:lastRow="0" w:firstColumn="1" w:lastColumn="0" w:noHBand="0" w:noVBand="1"/>
      </w:tblPr>
      <w:tblGrid>
        <w:gridCol w:w="2972"/>
        <w:gridCol w:w="6656"/>
      </w:tblGrid>
      <w:tr w:rsidR="007B417F" w:rsidRPr="00B8081C" w14:paraId="3FEB54A4" w14:textId="77777777" w:rsidTr="00FA047A">
        <w:tc>
          <w:tcPr>
            <w:tcW w:w="9628" w:type="dxa"/>
            <w:gridSpan w:val="2"/>
          </w:tcPr>
          <w:p w14:paraId="5610070D" w14:textId="77777777" w:rsidR="007B417F" w:rsidRPr="00B8081C" w:rsidRDefault="007B417F" w:rsidP="000F1011">
            <w:pPr>
              <w:pStyle w:val="NoSpacing"/>
              <w:rPr>
                <w:rFonts w:ascii="Arial" w:hAnsi="Arial" w:cs="Arial"/>
                <w:b/>
              </w:rPr>
            </w:pPr>
            <w:r w:rsidRPr="00B8081C">
              <w:rPr>
                <w:rFonts w:ascii="Arial" w:hAnsi="Arial" w:cs="Arial"/>
                <w:b/>
              </w:rPr>
              <w:t>Ownership and consultation</w:t>
            </w:r>
          </w:p>
        </w:tc>
      </w:tr>
      <w:tr w:rsidR="00DC0417" w:rsidRPr="00B8081C" w14:paraId="5D3E3981" w14:textId="77777777" w:rsidTr="00FA047A">
        <w:tc>
          <w:tcPr>
            <w:tcW w:w="2972" w:type="dxa"/>
          </w:tcPr>
          <w:p w14:paraId="421AE607" w14:textId="77777777" w:rsidR="00DC0417" w:rsidRPr="00B8081C" w:rsidRDefault="00DC0417" w:rsidP="00DC0417">
            <w:pPr>
              <w:pStyle w:val="NoSpacing"/>
              <w:rPr>
                <w:rFonts w:ascii="Arial" w:hAnsi="Arial" w:cs="Arial"/>
              </w:rPr>
            </w:pPr>
            <w:r w:rsidRPr="00B8081C">
              <w:rPr>
                <w:rFonts w:ascii="Arial" w:hAnsi="Arial" w:cs="Arial"/>
              </w:rPr>
              <w:t>Document sponsor (role)</w:t>
            </w:r>
          </w:p>
        </w:tc>
        <w:tc>
          <w:tcPr>
            <w:tcW w:w="6656" w:type="dxa"/>
          </w:tcPr>
          <w:p w14:paraId="1CF77B34" w14:textId="2D025EFA" w:rsidR="00DC0417" w:rsidRPr="00B8081C" w:rsidRDefault="00DC0417" w:rsidP="00DC0417">
            <w:pPr>
              <w:pStyle w:val="NoSpacing"/>
              <w:rPr>
                <w:rFonts w:ascii="Arial" w:hAnsi="Arial" w:cs="Arial"/>
              </w:rPr>
            </w:pPr>
            <w:r w:rsidRPr="00D83C20">
              <w:t xml:space="preserve">Director of Education </w:t>
            </w:r>
          </w:p>
        </w:tc>
      </w:tr>
      <w:tr w:rsidR="00DC0417" w:rsidRPr="00B8081C" w14:paraId="1E9A4F49" w14:textId="77777777" w:rsidTr="00FA047A">
        <w:tc>
          <w:tcPr>
            <w:tcW w:w="2972" w:type="dxa"/>
          </w:tcPr>
          <w:p w14:paraId="3730EBDF" w14:textId="77777777" w:rsidR="00DC0417" w:rsidRPr="00B8081C" w:rsidRDefault="00DC0417" w:rsidP="00DC0417">
            <w:pPr>
              <w:pStyle w:val="NoSpacing"/>
              <w:rPr>
                <w:rFonts w:ascii="Arial" w:hAnsi="Arial" w:cs="Arial"/>
              </w:rPr>
            </w:pPr>
            <w:r w:rsidRPr="00B8081C">
              <w:rPr>
                <w:rFonts w:ascii="Arial" w:hAnsi="Arial" w:cs="Arial"/>
              </w:rPr>
              <w:t>Document author (name)</w:t>
            </w:r>
          </w:p>
        </w:tc>
        <w:tc>
          <w:tcPr>
            <w:tcW w:w="6656" w:type="dxa"/>
          </w:tcPr>
          <w:p w14:paraId="6AD593F7" w14:textId="4F02795B" w:rsidR="00DC0417" w:rsidRPr="00B8081C" w:rsidRDefault="00DC0417" w:rsidP="00DC0417">
            <w:pPr>
              <w:pStyle w:val="NoSpacing"/>
              <w:rPr>
                <w:rFonts w:ascii="Arial" w:hAnsi="Arial" w:cs="Arial"/>
              </w:rPr>
            </w:pPr>
            <w:r>
              <w:t>Robin Davies, ADE</w:t>
            </w:r>
          </w:p>
        </w:tc>
      </w:tr>
      <w:tr w:rsidR="00DC0417" w:rsidRPr="00B8081C" w14:paraId="738DF610" w14:textId="77777777" w:rsidTr="00FA047A">
        <w:tc>
          <w:tcPr>
            <w:tcW w:w="2972" w:type="dxa"/>
          </w:tcPr>
          <w:p w14:paraId="20E0745F" w14:textId="0434D42F" w:rsidR="00DC0417" w:rsidRPr="00B8081C" w:rsidRDefault="00DC0417" w:rsidP="00DC0417">
            <w:pPr>
              <w:pStyle w:val="NoSpacing"/>
              <w:rPr>
                <w:rFonts w:ascii="Arial" w:hAnsi="Arial" w:cs="Arial"/>
              </w:rPr>
            </w:pPr>
            <w:r w:rsidRPr="00B8081C">
              <w:rPr>
                <w:rFonts w:ascii="Arial" w:hAnsi="Arial" w:cs="Arial"/>
              </w:rPr>
              <w:t xml:space="preserve">Consultation </w:t>
            </w:r>
            <w:r>
              <w:rPr>
                <w:rFonts w:ascii="Arial" w:hAnsi="Arial" w:cs="Arial"/>
              </w:rPr>
              <w:t>– May 2017</w:t>
            </w:r>
          </w:p>
        </w:tc>
        <w:tc>
          <w:tcPr>
            <w:tcW w:w="6656" w:type="dxa"/>
          </w:tcPr>
          <w:p w14:paraId="2CF67E6A" w14:textId="77777777" w:rsidR="00DC0417" w:rsidRDefault="00DC0417" w:rsidP="00DC0417">
            <w:pPr>
              <w:pStyle w:val="NoSpacing"/>
            </w:pPr>
            <w:r>
              <w:t>The following schools were consulted: North Bridge House Canonbury, Breaside Prep School, Hastings School Madrid, Hendon Prep School, Salcombe Prep School, Huddersfield Grammar School, Downsend Epsom Pre-Prep School and El Limonar Villamartin.</w:t>
            </w:r>
          </w:p>
          <w:p w14:paraId="0546433C" w14:textId="075C60A2" w:rsidR="00DC0417" w:rsidRPr="00B8081C" w:rsidRDefault="00DC0417" w:rsidP="00DC0417">
            <w:pPr>
              <w:pStyle w:val="NoSpacing"/>
              <w:rPr>
                <w:rFonts w:ascii="Arial" w:hAnsi="Arial" w:cs="Arial"/>
              </w:rPr>
            </w:pPr>
            <w:r>
              <w:t>Education Team representative – Danuta Tomasz, ADE.</w:t>
            </w:r>
          </w:p>
        </w:tc>
      </w:tr>
    </w:tbl>
    <w:p w14:paraId="5CC697B8"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61"/>
        <w:gridCol w:w="6667"/>
      </w:tblGrid>
      <w:tr w:rsidR="007B417F" w:rsidRPr="00B8081C" w14:paraId="06AED392" w14:textId="77777777" w:rsidTr="000F1011">
        <w:tc>
          <w:tcPr>
            <w:tcW w:w="10138" w:type="dxa"/>
            <w:gridSpan w:val="2"/>
          </w:tcPr>
          <w:p w14:paraId="49D8367A" w14:textId="77777777" w:rsidR="007B417F" w:rsidRPr="00B8081C" w:rsidRDefault="007B417F" w:rsidP="000F1011">
            <w:pPr>
              <w:pStyle w:val="NoSpacing"/>
              <w:rPr>
                <w:rFonts w:ascii="Arial" w:hAnsi="Arial" w:cs="Arial"/>
                <w:b/>
              </w:rPr>
            </w:pPr>
            <w:r w:rsidRPr="00B8081C">
              <w:rPr>
                <w:rFonts w:ascii="Arial" w:hAnsi="Arial" w:cs="Arial"/>
                <w:b/>
              </w:rPr>
              <w:t>Audience</w:t>
            </w:r>
          </w:p>
        </w:tc>
      </w:tr>
      <w:tr w:rsidR="007B417F" w:rsidRPr="00B8081C" w14:paraId="21B728EB" w14:textId="77777777" w:rsidTr="000F1011">
        <w:tc>
          <w:tcPr>
            <w:tcW w:w="3085" w:type="dxa"/>
          </w:tcPr>
          <w:p w14:paraId="7BF73511" w14:textId="77777777" w:rsidR="007B417F" w:rsidRPr="00B8081C" w:rsidRDefault="007B417F" w:rsidP="000F1011">
            <w:pPr>
              <w:pStyle w:val="NoSpacing"/>
              <w:rPr>
                <w:rFonts w:ascii="Arial" w:hAnsi="Arial" w:cs="Arial"/>
              </w:rPr>
            </w:pPr>
            <w:r w:rsidRPr="00B8081C">
              <w:rPr>
                <w:rFonts w:ascii="Arial" w:hAnsi="Arial" w:cs="Arial"/>
              </w:rPr>
              <w:t>Audience</w:t>
            </w:r>
          </w:p>
        </w:tc>
        <w:tc>
          <w:tcPr>
            <w:tcW w:w="7053" w:type="dxa"/>
          </w:tcPr>
          <w:p w14:paraId="55BBD3BF" w14:textId="5AD39DA2" w:rsidR="007B417F" w:rsidRPr="00B8081C" w:rsidRDefault="00DC0417" w:rsidP="000F1011">
            <w:pPr>
              <w:pStyle w:val="NoSpacing"/>
              <w:rPr>
                <w:rFonts w:ascii="Arial" w:hAnsi="Arial" w:cs="Arial"/>
              </w:rPr>
            </w:pPr>
            <w:r>
              <w:t>Parents and all school staff</w:t>
            </w:r>
          </w:p>
        </w:tc>
      </w:tr>
    </w:tbl>
    <w:p w14:paraId="0AA993BE"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68"/>
        <w:gridCol w:w="6660"/>
      </w:tblGrid>
      <w:tr w:rsidR="007B417F" w:rsidRPr="00B8081C" w14:paraId="56508441" w14:textId="77777777" w:rsidTr="007B417F">
        <w:tc>
          <w:tcPr>
            <w:tcW w:w="9628" w:type="dxa"/>
            <w:gridSpan w:val="2"/>
          </w:tcPr>
          <w:p w14:paraId="2695A7BB" w14:textId="7C3E4D2B" w:rsidR="007B417F" w:rsidRPr="00B8081C" w:rsidRDefault="007B417F" w:rsidP="007B417F">
            <w:pPr>
              <w:pStyle w:val="NoSpacing"/>
              <w:rPr>
                <w:rFonts w:ascii="Arial" w:hAnsi="Arial" w:cs="Arial"/>
                <w:b/>
              </w:rPr>
            </w:pPr>
            <w:r w:rsidRPr="00B8081C">
              <w:rPr>
                <w:rFonts w:ascii="Arial" w:hAnsi="Arial" w:cs="Arial"/>
                <w:b/>
              </w:rPr>
              <w:t xml:space="preserve">Document application </w:t>
            </w:r>
            <w:r w:rsidR="00FA047A">
              <w:rPr>
                <w:rFonts w:ascii="Arial" w:hAnsi="Arial" w:cs="Arial"/>
                <w:b/>
              </w:rPr>
              <w:t>and publication</w:t>
            </w:r>
          </w:p>
        </w:tc>
      </w:tr>
      <w:tr w:rsidR="00DC0417" w:rsidRPr="00B8081C" w14:paraId="7C6D5FD3" w14:textId="77777777" w:rsidTr="007B417F">
        <w:tc>
          <w:tcPr>
            <w:tcW w:w="2968" w:type="dxa"/>
          </w:tcPr>
          <w:p w14:paraId="69EE8ADA" w14:textId="4F7E9829" w:rsidR="00DC0417" w:rsidRPr="00B8081C" w:rsidRDefault="00DC0417" w:rsidP="00DC0417">
            <w:pPr>
              <w:pStyle w:val="NoSpacing"/>
              <w:rPr>
                <w:rFonts w:ascii="Arial" w:hAnsi="Arial" w:cs="Arial"/>
              </w:rPr>
            </w:pPr>
            <w:r>
              <w:rPr>
                <w:rFonts w:ascii="Arial" w:hAnsi="Arial" w:cs="Arial"/>
              </w:rPr>
              <w:t>England</w:t>
            </w:r>
          </w:p>
        </w:tc>
        <w:tc>
          <w:tcPr>
            <w:tcW w:w="6660" w:type="dxa"/>
          </w:tcPr>
          <w:p w14:paraId="7F51B3D8" w14:textId="1D7F8C8A" w:rsidR="00DC0417" w:rsidRPr="00B8081C" w:rsidRDefault="00DC0417" w:rsidP="00DC0417">
            <w:pPr>
              <w:pStyle w:val="NoSpacing"/>
              <w:rPr>
                <w:rFonts w:ascii="Arial" w:hAnsi="Arial" w:cs="Arial"/>
              </w:rPr>
            </w:pPr>
            <w:r>
              <w:t>Yes</w:t>
            </w:r>
          </w:p>
        </w:tc>
      </w:tr>
      <w:tr w:rsidR="00DC0417" w:rsidRPr="00B8081C" w14:paraId="3A0ED407" w14:textId="77777777" w:rsidTr="007B417F">
        <w:tc>
          <w:tcPr>
            <w:tcW w:w="2968" w:type="dxa"/>
          </w:tcPr>
          <w:p w14:paraId="78367C4E" w14:textId="65E8D33A" w:rsidR="00DC0417" w:rsidRDefault="00DC0417" w:rsidP="00DC0417">
            <w:pPr>
              <w:pStyle w:val="NoSpacing"/>
              <w:rPr>
                <w:rFonts w:ascii="Arial" w:hAnsi="Arial" w:cs="Arial"/>
              </w:rPr>
            </w:pPr>
            <w:r>
              <w:rPr>
                <w:rFonts w:ascii="Arial" w:hAnsi="Arial" w:cs="Arial"/>
              </w:rPr>
              <w:t>Wales</w:t>
            </w:r>
          </w:p>
        </w:tc>
        <w:tc>
          <w:tcPr>
            <w:tcW w:w="6660" w:type="dxa"/>
          </w:tcPr>
          <w:p w14:paraId="5D4BA53C" w14:textId="413F57C2" w:rsidR="00DC0417" w:rsidRPr="00B8081C" w:rsidRDefault="00DC0417" w:rsidP="00DC0417">
            <w:pPr>
              <w:pStyle w:val="NoSpacing"/>
              <w:rPr>
                <w:rFonts w:ascii="Arial" w:hAnsi="Arial" w:cs="Arial"/>
              </w:rPr>
            </w:pPr>
            <w:r>
              <w:t>Yes</w:t>
            </w:r>
          </w:p>
        </w:tc>
      </w:tr>
      <w:tr w:rsidR="00DC0417" w:rsidRPr="00B8081C" w14:paraId="192605FB" w14:textId="77777777" w:rsidTr="007B417F">
        <w:tc>
          <w:tcPr>
            <w:tcW w:w="2968" w:type="dxa"/>
          </w:tcPr>
          <w:p w14:paraId="36E521C3" w14:textId="62C03C68" w:rsidR="00DC0417" w:rsidRDefault="00DC0417" w:rsidP="00DC0417">
            <w:pPr>
              <w:pStyle w:val="NoSpacing"/>
              <w:rPr>
                <w:rFonts w:ascii="Arial" w:hAnsi="Arial" w:cs="Arial"/>
              </w:rPr>
            </w:pPr>
            <w:r>
              <w:rPr>
                <w:rFonts w:ascii="Arial" w:hAnsi="Arial" w:cs="Arial"/>
              </w:rPr>
              <w:t>Spain</w:t>
            </w:r>
          </w:p>
        </w:tc>
        <w:tc>
          <w:tcPr>
            <w:tcW w:w="6660" w:type="dxa"/>
          </w:tcPr>
          <w:p w14:paraId="0F4D0784" w14:textId="36168E36" w:rsidR="00DC0417" w:rsidRDefault="00DC0417" w:rsidP="00DC0417">
            <w:pPr>
              <w:pStyle w:val="NoSpacing"/>
              <w:rPr>
                <w:rFonts w:ascii="Arial" w:hAnsi="Arial" w:cs="Arial"/>
              </w:rPr>
            </w:pPr>
            <w:r>
              <w:t>Yes</w:t>
            </w:r>
          </w:p>
        </w:tc>
      </w:tr>
    </w:tbl>
    <w:p w14:paraId="17FDEB9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3000"/>
        <w:gridCol w:w="6628"/>
      </w:tblGrid>
      <w:tr w:rsidR="007B417F" w:rsidRPr="00B8081C" w14:paraId="45BF5F4D" w14:textId="77777777" w:rsidTr="00DC0417">
        <w:tc>
          <w:tcPr>
            <w:tcW w:w="9628" w:type="dxa"/>
            <w:gridSpan w:val="2"/>
          </w:tcPr>
          <w:p w14:paraId="03433E72" w14:textId="77777777" w:rsidR="007B417F" w:rsidRPr="00B8081C" w:rsidRDefault="007B417F" w:rsidP="000F1011">
            <w:pPr>
              <w:pStyle w:val="NoSpacing"/>
              <w:rPr>
                <w:rFonts w:ascii="Arial" w:hAnsi="Arial" w:cs="Arial"/>
                <w:b/>
              </w:rPr>
            </w:pPr>
            <w:r w:rsidRPr="00B8081C">
              <w:rPr>
                <w:rFonts w:ascii="Arial" w:hAnsi="Arial" w:cs="Arial"/>
                <w:b/>
              </w:rPr>
              <w:t>Version control</w:t>
            </w:r>
          </w:p>
        </w:tc>
      </w:tr>
      <w:tr w:rsidR="00DC0417" w:rsidRPr="00B8081C" w14:paraId="3432FAC2" w14:textId="77777777" w:rsidTr="00DC0417">
        <w:tc>
          <w:tcPr>
            <w:tcW w:w="3000" w:type="dxa"/>
          </w:tcPr>
          <w:p w14:paraId="59B7D62E" w14:textId="77777777" w:rsidR="00DC0417" w:rsidRPr="00B8081C" w:rsidRDefault="00DC0417" w:rsidP="00DC0417">
            <w:pPr>
              <w:pStyle w:val="NoSpacing"/>
              <w:rPr>
                <w:rFonts w:ascii="Arial" w:hAnsi="Arial" w:cs="Arial"/>
              </w:rPr>
            </w:pPr>
            <w:r w:rsidRPr="00B8081C">
              <w:rPr>
                <w:rFonts w:ascii="Arial" w:hAnsi="Arial" w:cs="Arial"/>
              </w:rPr>
              <w:t>Implementation date</w:t>
            </w:r>
          </w:p>
        </w:tc>
        <w:tc>
          <w:tcPr>
            <w:tcW w:w="6628" w:type="dxa"/>
          </w:tcPr>
          <w:p w14:paraId="7CA07EF2" w14:textId="0F2384CB" w:rsidR="00DC0417" w:rsidRPr="00B8081C" w:rsidRDefault="00DC0417" w:rsidP="00DC0417">
            <w:pPr>
              <w:pStyle w:val="NoSpacing"/>
              <w:rPr>
                <w:rFonts w:ascii="Arial" w:hAnsi="Arial" w:cs="Arial"/>
              </w:rPr>
            </w:pPr>
            <w:r>
              <w:t>01.09.201</w:t>
            </w:r>
            <w:r w:rsidR="00573739">
              <w:t>8</w:t>
            </w:r>
            <w:r>
              <w:t xml:space="preserve"> </w:t>
            </w:r>
          </w:p>
        </w:tc>
      </w:tr>
      <w:tr w:rsidR="00DC0417" w:rsidRPr="00B8081C" w14:paraId="323E7867" w14:textId="77777777" w:rsidTr="00DC0417">
        <w:tc>
          <w:tcPr>
            <w:tcW w:w="3000" w:type="dxa"/>
          </w:tcPr>
          <w:p w14:paraId="22CAAD3C" w14:textId="50723CD1" w:rsidR="00DC0417" w:rsidRPr="00B8081C" w:rsidRDefault="00DC0417" w:rsidP="00DC0417">
            <w:pPr>
              <w:pStyle w:val="NoSpacing"/>
              <w:rPr>
                <w:rFonts w:ascii="Arial" w:hAnsi="Arial" w:cs="Arial"/>
              </w:rPr>
            </w:pPr>
            <w:r>
              <w:rPr>
                <w:rFonts w:ascii="Arial" w:hAnsi="Arial" w:cs="Arial"/>
              </w:rPr>
              <w:t>Review date</w:t>
            </w:r>
          </w:p>
        </w:tc>
        <w:tc>
          <w:tcPr>
            <w:tcW w:w="6628" w:type="dxa"/>
          </w:tcPr>
          <w:p w14:paraId="54649895" w14:textId="60AA268D" w:rsidR="00DC0417" w:rsidRPr="00B8081C" w:rsidRDefault="00DC0417" w:rsidP="00DC0417">
            <w:pPr>
              <w:pStyle w:val="NoSpacing"/>
              <w:rPr>
                <w:rFonts w:ascii="Arial" w:hAnsi="Arial" w:cs="Arial"/>
              </w:rPr>
            </w:pPr>
            <w:r>
              <w:t>Review and update for implementation in September 201</w:t>
            </w:r>
            <w:r w:rsidR="00573739">
              <w:t>9</w:t>
            </w:r>
          </w:p>
        </w:tc>
      </w:tr>
    </w:tbl>
    <w:p w14:paraId="219DCCF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87"/>
        <w:gridCol w:w="6641"/>
      </w:tblGrid>
      <w:tr w:rsidR="007B417F" w:rsidRPr="00B8081C" w14:paraId="1924AA14" w14:textId="77777777" w:rsidTr="007B417F">
        <w:tc>
          <w:tcPr>
            <w:tcW w:w="9628" w:type="dxa"/>
            <w:gridSpan w:val="2"/>
          </w:tcPr>
          <w:p w14:paraId="0449AAA8" w14:textId="43A3DFAB" w:rsidR="007B417F" w:rsidRPr="00B8081C" w:rsidRDefault="007B417F" w:rsidP="000F1011">
            <w:pPr>
              <w:pStyle w:val="NoSpacing"/>
              <w:rPr>
                <w:rFonts w:ascii="Arial" w:hAnsi="Arial" w:cs="Arial"/>
                <w:b/>
              </w:rPr>
            </w:pPr>
            <w:r w:rsidRPr="00B8081C">
              <w:rPr>
                <w:rFonts w:ascii="Arial" w:hAnsi="Arial" w:cs="Arial"/>
                <w:b/>
              </w:rPr>
              <w:t>Related documentation</w:t>
            </w:r>
          </w:p>
        </w:tc>
      </w:tr>
      <w:tr w:rsidR="007B417F" w:rsidRPr="00B8081C" w14:paraId="491B9C9E" w14:textId="77777777" w:rsidTr="007B417F">
        <w:tc>
          <w:tcPr>
            <w:tcW w:w="2987" w:type="dxa"/>
          </w:tcPr>
          <w:p w14:paraId="2E9D79D6" w14:textId="465BD9F9" w:rsidR="007B417F" w:rsidRPr="00B8081C" w:rsidRDefault="007B417F" w:rsidP="000F1011">
            <w:pPr>
              <w:pStyle w:val="NoSpacing"/>
              <w:rPr>
                <w:rFonts w:ascii="Arial" w:hAnsi="Arial" w:cs="Arial"/>
              </w:rPr>
            </w:pPr>
            <w:r w:rsidRPr="00B8081C">
              <w:rPr>
                <w:rFonts w:ascii="Arial" w:hAnsi="Arial" w:cs="Arial"/>
              </w:rPr>
              <w:t>Related documentation</w:t>
            </w:r>
          </w:p>
        </w:tc>
        <w:tc>
          <w:tcPr>
            <w:tcW w:w="6641" w:type="dxa"/>
          </w:tcPr>
          <w:p w14:paraId="0F6B7AE6" w14:textId="607BDC46" w:rsidR="00DC0417" w:rsidRDefault="00DC0417" w:rsidP="00DC0417">
            <w:pPr>
              <w:pStyle w:val="NoSpacing"/>
            </w:pPr>
            <w:r>
              <w:t>Assessment Policy</w:t>
            </w:r>
          </w:p>
          <w:p w14:paraId="295690BD" w14:textId="77777777" w:rsidR="00DC0417" w:rsidRDefault="00DC0417" w:rsidP="00DC0417">
            <w:pPr>
              <w:pStyle w:val="NoSpacing"/>
            </w:pPr>
            <w:r>
              <w:t>Curriculum Policy</w:t>
            </w:r>
          </w:p>
          <w:p w14:paraId="78FB6B90" w14:textId="77777777" w:rsidR="00DC0417" w:rsidRDefault="00DC0417" w:rsidP="00DC0417">
            <w:pPr>
              <w:pStyle w:val="NoSpacing"/>
            </w:pPr>
            <w:r>
              <w:t>EAL Policy</w:t>
            </w:r>
          </w:p>
          <w:p w14:paraId="605A6966" w14:textId="77777777" w:rsidR="00DC0417" w:rsidRDefault="00DC0417" w:rsidP="00DC0417">
            <w:pPr>
              <w:pStyle w:val="NoSpacing"/>
            </w:pPr>
            <w:r>
              <w:t>SEND Policy</w:t>
            </w:r>
          </w:p>
          <w:p w14:paraId="6A57E5E6" w14:textId="078A5216" w:rsidR="007B417F" w:rsidRPr="00B8081C" w:rsidRDefault="00DC0417" w:rsidP="00DC0417">
            <w:pPr>
              <w:pStyle w:val="NoSpacing"/>
              <w:rPr>
                <w:rFonts w:ascii="Arial" w:hAnsi="Arial" w:cs="Arial"/>
              </w:rPr>
            </w:pPr>
            <w:r>
              <w:t>Teaching and Learning Policy</w:t>
            </w:r>
          </w:p>
        </w:tc>
      </w:tr>
    </w:tbl>
    <w:p w14:paraId="6FE2E8EB" w14:textId="67CB09F5" w:rsidR="0097581B" w:rsidRPr="00B8081C" w:rsidRDefault="0097581B" w:rsidP="009B5DD0">
      <w:pPr>
        <w:pStyle w:val="NoSpacing"/>
        <w:rPr>
          <w:rFonts w:ascii="Arial" w:hAnsi="Arial" w:cs="Arial"/>
          <w:noProof/>
          <w:sz w:val="24"/>
          <w:szCs w:val="24"/>
        </w:rPr>
      </w:pPr>
    </w:p>
    <w:sectPr w:rsidR="0097581B" w:rsidRPr="00B8081C" w:rsidSect="00B8081C">
      <w:headerReference w:type="default" r:id="rId13"/>
      <w:footerReference w:type="default" r:id="rId14"/>
      <w:footerReference w:type="first" r:id="rId15"/>
      <w:type w:val="continuous"/>
      <w:pgSz w:w="11906" w:h="16838"/>
      <w:pgMar w:top="1440" w:right="1134" w:bottom="1440" w:left="1134"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81D9" w14:textId="77777777" w:rsidR="000F1011" w:rsidRDefault="000F1011" w:rsidP="00C75CEE">
      <w:r>
        <w:separator/>
      </w:r>
    </w:p>
  </w:endnote>
  <w:endnote w:type="continuationSeparator" w:id="0">
    <w:p w14:paraId="21A71588" w14:textId="77777777" w:rsidR="000F1011" w:rsidRDefault="000F1011" w:rsidP="00C7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799918"/>
      <w:docPartObj>
        <w:docPartGallery w:val="Page Numbers (Bottom of Page)"/>
        <w:docPartUnique/>
      </w:docPartObj>
    </w:sdtPr>
    <w:sdtEndPr>
      <w:rPr>
        <w:rFonts w:ascii="Arial" w:hAnsi="Arial" w:cs="Arial"/>
        <w:noProof/>
        <w:sz w:val="14"/>
      </w:rPr>
    </w:sdtEndPr>
    <w:sdtContent>
      <w:p w14:paraId="226844FF" w14:textId="1C9FAA8C" w:rsidR="000F1011" w:rsidRPr="00ED64DB" w:rsidRDefault="000F1011">
        <w:pPr>
          <w:pStyle w:val="Footer"/>
          <w:rPr>
            <w:rFonts w:ascii="Arial" w:hAnsi="Arial" w:cs="Arial"/>
            <w:sz w:val="14"/>
          </w:rPr>
        </w:pPr>
        <w:r w:rsidRPr="00ED64DB">
          <w:rPr>
            <w:rFonts w:ascii="Arial" w:hAnsi="Arial" w:cs="Arial"/>
            <w:sz w:val="14"/>
          </w:rPr>
          <w:fldChar w:fldCharType="begin"/>
        </w:r>
        <w:r w:rsidRPr="00ED64DB">
          <w:rPr>
            <w:rFonts w:ascii="Arial" w:hAnsi="Arial" w:cs="Arial"/>
            <w:sz w:val="14"/>
          </w:rPr>
          <w:instrText xml:space="preserve"> PAGE   \* MERGEFORMAT </w:instrText>
        </w:r>
        <w:r w:rsidRPr="00ED64DB">
          <w:rPr>
            <w:rFonts w:ascii="Arial" w:hAnsi="Arial" w:cs="Arial"/>
            <w:sz w:val="14"/>
          </w:rPr>
          <w:fldChar w:fldCharType="separate"/>
        </w:r>
        <w:r w:rsidR="003B513D">
          <w:rPr>
            <w:rFonts w:ascii="Arial" w:hAnsi="Arial" w:cs="Arial"/>
            <w:noProof/>
            <w:sz w:val="14"/>
          </w:rPr>
          <w:t>2</w:t>
        </w:r>
        <w:r w:rsidRPr="00ED64DB">
          <w:rPr>
            <w:rFonts w:ascii="Arial" w:hAnsi="Arial" w:cs="Arial"/>
            <w:noProof/>
            <w:sz w:val="14"/>
          </w:rPr>
          <w:fldChar w:fldCharType="end"/>
        </w:r>
        <w:r>
          <w:rPr>
            <w:rFonts w:ascii="Arial" w:hAnsi="Arial" w:cs="Arial"/>
            <w:noProof/>
            <w:sz w:val="14"/>
          </w:rPr>
          <w:tab/>
        </w:r>
        <w:r>
          <w:rPr>
            <w:rFonts w:ascii="Arial" w:hAnsi="Arial" w:cs="Arial"/>
            <w:noProof/>
            <w:sz w:val="14"/>
          </w:rPr>
          <w:tab/>
          <w:t>September 2018</w:t>
        </w:r>
      </w:p>
    </w:sdtContent>
  </w:sdt>
  <w:p w14:paraId="2BFDF0C8" w14:textId="7F0FD894" w:rsidR="000F1011" w:rsidRPr="007B417F" w:rsidRDefault="000F1011" w:rsidP="00343D68">
    <w:pPr>
      <w:pStyle w:val="Header"/>
      <w:rPr>
        <w:rFonts w:ascii="Arial" w:hAnsi="Arial" w:cs="Arial"/>
        <w:color w:val="808080" w:themeColor="background1" w:themeShade="80"/>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DC58" w14:textId="1CBD26E7" w:rsidR="000F1011" w:rsidRPr="00D651FD" w:rsidRDefault="000F1011" w:rsidP="00EC3A7D">
    <w:pPr>
      <w:pStyle w:val="Footer"/>
      <w:spacing w:after="60"/>
      <w:ind w:left="-1260" w:right="-1228"/>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5 &amp; 7 Diamond Court, Opal Drive, Eastlake Park, Fox Milne, Milton Keynes MK15 0DU, T: 01908 396250, F: 01908 396251, </w:t>
    </w:r>
    <w:hyperlink r:id="rId1" w:history="1">
      <w:r w:rsidRPr="00D651FD">
        <w:rPr>
          <w:rStyle w:val="Hyperlink"/>
          <w:rFonts w:ascii="Arial" w:hAnsi="Arial" w:cs="Arial"/>
          <w:color w:val="808080" w:themeColor="background1" w:themeShade="80"/>
          <w:sz w:val="14"/>
          <w:szCs w:val="16"/>
        </w:rPr>
        <w:t>www.cognita.com</w:t>
      </w:r>
    </w:hyperlink>
    <w:r w:rsidRPr="00D651FD">
      <w:rPr>
        <w:rFonts w:ascii="Arial" w:hAnsi="Arial" w:cs="Arial"/>
        <w:color w:val="808080" w:themeColor="background1" w:themeShade="80"/>
        <w:sz w:val="14"/>
        <w:szCs w:val="16"/>
      </w:rPr>
      <w:t xml:space="preserve"> </w:t>
    </w:r>
  </w:p>
  <w:p w14:paraId="70EAF8CD" w14:textId="77777777" w:rsidR="000F1011" w:rsidRPr="00D651FD" w:rsidRDefault="000F1011" w:rsidP="00EC3A7D">
    <w:pPr>
      <w:pStyle w:val="Footer"/>
      <w:ind w:left="-1080" w:right="-1216"/>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Registered in England Cognita Limited No 5280910 Registered Office: Seebeck House, One Seebeck Place, Knowlhill, Milton Keynes MK5 8FR</w:t>
    </w:r>
  </w:p>
  <w:p w14:paraId="0157D2B4" w14:textId="77777777" w:rsidR="000F1011" w:rsidRPr="00D651FD" w:rsidRDefault="000F1011">
    <w:pPr>
      <w:pStyle w:val="Footer"/>
      <w:rPr>
        <w:rFonts w:ascii="Arial" w:hAnsi="Arial" w:cs="Arial"/>
        <w:color w:val="808080" w:themeColor="background1" w:themeShade="80"/>
      </w:rPr>
    </w:pPr>
  </w:p>
  <w:p w14:paraId="213AEB2E" w14:textId="77777777" w:rsidR="000F1011" w:rsidRPr="00D651FD" w:rsidRDefault="000F1011">
    <w:pPr>
      <w:pStyle w:val="Foote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F26AE" w14:textId="77777777" w:rsidR="000F1011" w:rsidRDefault="000F1011" w:rsidP="00C75CEE">
      <w:r>
        <w:separator/>
      </w:r>
    </w:p>
  </w:footnote>
  <w:footnote w:type="continuationSeparator" w:id="0">
    <w:p w14:paraId="29311E65" w14:textId="77777777" w:rsidR="000F1011" w:rsidRDefault="000F1011" w:rsidP="00C75C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BF063" w14:textId="3F45E485" w:rsidR="000F1011" w:rsidRPr="00D651FD" w:rsidRDefault="000F1011" w:rsidP="00A027A9">
    <w:pPr>
      <w:pStyle w:val="Header"/>
      <w:pBdr>
        <w:bottom w:val="single" w:sz="6" w:space="1" w:color="auto"/>
      </w:pBdr>
      <w:rPr>
        <w:rFonts w:ascii="Arial" w:hAnsi="Arial" w:cs="Arial"/>
        <w:b/>
      </w:rPr>
    </w:pPr>
    <w:r>
      <w:rPr>
        <w:rFonts w:ascii="Arial" w:hAnsi="Arial" w:cs="Arial"/>
        <w:b/>
      </w:rPr>
      <w:t>Able, Gifted and Talented Policy</w:t>
    </w:r>
  </w:p>
  <w:p w14:paraId="0F01F9BB" w14:textId="77777777" w:rsidR="000F1011" w:rsidRPr="00A027A9" w:rsidRDefault="000F1011" w:rsidP="00A027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601"/>
    <w:multiLevelType w:val="hybridMultilevel"/>
    <w:tmpl w:val="FEE07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86746E"/>
    <w:multiLevelType w:val="hybridMultilevel"/>
    <w:tmpl w:val="D188E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756EB6"/>
    <w:multiLevelType w:val="hybridMultilevel"/>
    <w:tmpl w:val="B6961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1A14D4"/>
    <w:multiLevelType w:val="hybridMultilevel"/>
    <w:tmpl w:val="973C6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0B48A1"/>
    <w:multiLevelType w:val="hybridMultilevel"/>
    <w:tmpl w:val="38AC6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51A1DB8"/>
    <w:multiLevelType w:val="hybridMultilevel"/>
    <w:tmpl w:val="A2C8841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797658"/>
    <w:multiLevelType w:val="hybridMultilevel"/>
    <w:tmpl w:val="2F808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9FF4803"/>
    <w:multiLevelType w:val="hybridMultilevel"/>
    <w:tmpl w:val="B840D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143C48"/>
    <w:multiLevelType w:val="hybridMultilevel"/>
    <w:tmpl w:val="190EA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9257FE"/>
    <w:multiLevelType w:val="hybridMultilevel"/>
    <w:tmpl w:val="39640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F30229"/>
    <w:multiLevelType w:val="multilevel"/>
    <w:tmpl w:val="A5401936"/>
    <w:lvl w:ilvl="0">
      <w:start w:val="1"/>
      <w:numFmt w:val="decimal"/>
      <w:pStyle w:val="Heading1"/>
      <w:lvlText w:val="%1"/>
      <w:lvlJc w:val="left"/>
      <w:pPr>
        <w:ind w:left="716" w:hanging="432"/>
      </w:pPr>
    </w:lvl>
    <w:lvl w:ilvl="1">
      <w:start w:val="1"/>
      <w:numFmt w:val="decimal"/>
      <w:pStyle w:val="Heading2"/>
      <w:lvlText w:val="%1.%2"/>
      <w:lvlJc w:val="left"/>
      <w:pPr>
        <w:ind w:left="718" w:hanging="576"/>
      </w:pPr>
      <w:rPr>
        <w:b w:val="0"/>
        <w:i w:val="0"/>
        <w:color w:val="000000" w:themeColor="text1"/>
        <w:sz w:val="22"/>
        <w:szCs w:val="22"/>
      </w:rPr>
    </w:lvl>
    <w:lvl w:ilvl="2">
      <w:start w:val="1"/>
      <w:numFmt w:val="decimal"/>
      <w:pStyle w:val="Heading3"/>
      <w:lvlText w:val="%1.%2.%3"/>
      <w:lvlJc w:val="left"/>
      <w:pPr>
        <w:ind w:left="1429"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8AB0209"/>
    <w:multiLevelType w:val="hybridMultilevel"/>
    <w:tmpl w:val="BCFCC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283313E"/>
    <w:multiLevelType w:val="hybridMultilevel"/>
    <w:tmpl w:val="1196E8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1D4A73"/>
    <w:multiLevelType w:val="hybridMultilevel"/>
    <w:tmpl w:val="B51A3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FE673D"/>
    <w:multiLevelType w:val="hybridMultilevel"/>
    <w:tmpl w:val="F2601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284F78"/>
    <w:multiLevelType w:val="hybridMultilevel"/>
    <w:tmpl w:val="9CDE8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A25432"/>
    <w:multiLevelType w:val="hybridMultilevel"/>
    <w:tmpl w:val="75B4E3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18" w15:restartNumberingAfterBreak="0">
    <w:nsid w:val="627024E8"/>
    <w:multiLevelType w:val="hybridMultilevel"/>
    <w:tmpl w:val="63201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77C5CA1"/>
    <w:multiLevelType w:val="hybridMultilevel"/>
    <w:tmpl w:val="98F0B4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DE61E7"/>
    <w:multiLevelType w:val="hybridMultilevel"/>
    <w:tmpl w:val="A5A41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654DE1"/>
    <w:multiLevelType w:val="hybridMultilevel"/>
    <w:tmpl w:val="0688D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36950FF"/>
    <w:multiLevelType w:val="hybridMultilevel"/>
    <w:tmpl w:val="67C2F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5175592"/>
    <w:multiLevelType w:val="hybridMultilevel"/>
    <w:tmpl w:val="2EAAA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A0559D9"/>
    <w:multiLevelType w:val="hybridMultilevel"/>
    <w:tmpl w:val="41A01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EFA04C3"/>
    <w:multiLevelType w:val="hybridMultilevel"/>
    <w:tmpl w:val="8D7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7"/>
  </w:num>
  <w:num w:numId="3">
    <w:abstractNumId w:val="3"/>
  </w:num>
  <w:num w:numId="4">
    <w:abstractNumId w:val="16"/>
  </w:num>
  <w:num w:numId="5">
    <w:abstractNumId w:val="7"/>
  </w:num>
  <w:num w:numId="6">
    <w:abstractNumId w:val="25"/>
  </w:num>
  <w:num w:numId="7">
    <w:abstractNumId w:val="21"/>
  </w:num>
  <w:num w:numId="8">
    <w:abstractNumId w:val="8"/>
  </w:num>
  <w:num w:numId="9">
    <w:abstractNumId w:val="4"/>
  </w:num>
  <w:num w:numId="10">
    <w:abstractNumId w:val="15"/>
  </w:num>
  <w:num w:numId="11">
    <w:abstractNumId w:val="5"/>
  </w:num>
  <w:num w:numId="12">
    <w:abstractNumId w:val="23"/>
  </w:num>
  <w:num w:numId="13">
    <w:abstractNumId w:val="20"/>
  </w:num>
  <w:num w:numId="14">
    <w:abstractNumId w:val="6"/>
  </w:num>
  <w:num w:numId="15">
    <w:abstractNumId w:val="1"/>
  </w:num>
  <w:num w:numId="16">
    <w:abstractNumId w:val="0"/>
  </w:num>
  <w:num w:numId="17">
    <w:abstractNumId w:val="9"/>
  </w:num>
  <w:num w:numId="18">
    <w:abstractNumId w:val="12"/>
  </w:num>
  <w:num w:numId="19">
    <w:abstractNumId w:val="22"/>
  </w:num>
  <w:num w:numId="20">
    <w:abstractNumId w:val="11"/>
  </w:num>
  <w:num w:numId="21">
    <w:abstractNumId w:val="2"/>
  </w:num>
  <w:num w:numId="22">
    <w:abstractNumId w:val="18"/>
  </w:num>
  <w:num w:numId="23">
    <w:abstractNumId w:val="24"/>
  </w:num>
  <w:num w:numId="24">
    <w:abstractNumId w:val="19"/>
  </w:num>
  <w:num w:numId="25">
    <w:abstractNumId w:val="14"/>
  </w:num>
  <w:num w:numId="2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EE"/>
    <w:rsid w:val="00002588"/>
    <w:rsid w:val="000122C8"/>
    <w:rsid w:val="00014FE3"/>
    <w:rsid w:val="00016C20"/>
    <w:rsid w:val="00037976"/>
    <w:rsid w:val="0004576A"/>
    <w:rsid w:val="00080AA1"/>
    <w:rsid w:val="0008189A"/>
    <w:rsid w:val="000941D8"/>
    <w:rsid w:val="000A706D"/>
    <w:rsid w:val="000C3931"/>
    <w:rsid w:val="000D22C1"/>
    <w:rsid w:val="000F1011"/>
    <w:rsid w:val="00113B1A"/>
    <w:rsid w:val="00114D56"/>
    <w:rsid w:val="00114ECC"/>
    <w:rsid w:val="00123A6C"/>
    <w:rsid w:val="00143598"/>
    <w:rsid w:val="00157290"/>
    <w:rsid w:val="00171886"/>
    <w:rsid w:val="00172B39"/>
    <w:rsid w:val="00197DD2"/>
    <w:rsid w:val="001B23F5"/>
    <w:rsid w:val="001B39DC"/>
    <w:rsid w:val="001C084A"/>
    <w:rsid w:val="001E6177"/>
    <w:rsid w:val="001E74C8"/>
    <w:rsid w:val="001E7DA6"/>
    <w:rsid w:val="00210995"/>
    <w:rsid w:val="0021316B"/>
    <w:rsid w:val="00213631"/>
    <w:rsid w:val="002312AF"/>
    <w:rsid w:val="00255BF7"/>
    <w:rsid w:val="00264EE2"/>
    <w:rsid w:val="00267142"/>
    <w:rsid w:val="00271679"/>
    <w:rsid w:val="0029154E"/>
    <w:rsid w:val="00297973"/>
    <w:rsid w:val="00297DC4"/>
    <w:rsid w:val="002A3E76"/>
    <w:rsid w:val="002B3E55"/>
    <w:rsid w:val="002B417F"/>
    <w:rsid w:val="002B441D"/>
    <w:rsid w:val="002B6964"/>
    <w:rsid w:val="002C279D"/>
    <w:rsid w:val="002E0EDF"/>
    <w:rsid w:val="002E5053"/>
    <w:rsid w:val="002F0B68"/>
    <w:rsid w:val="0031055F"/>
    <w:rsid w:val="003214A3"/>
    <w:rsid w:val="00325987"/>
    <w:rsid w:val="00334A6D"/>
    <w:rsid w:val="00343D68"/>
    <w:rsid w:val="00352254"/>
    <w:rsid w:val="00356C11"/>
    <w:rsid w:val="00366CA5"/>
    <w:rsid w:val="0037098B"/>
    <w:rsid w:val="00372BE8"/>
    <w:rsid w:val="003870EF"/>
    <w:rsid w:val="0039431C"/>
    <w:rsid w:val="00395C11"/>
    <w:rsid w:val="00395F6A"/>
    <w:rsid w:val="003A336A"/>
    <w:rsid w:val="003B513D"/>
    <w:rsid w:val="003B5744"/>
    <w:rsid w:val="003B5996"/>
    <w:rsid w:val="003D650E"/>
    <w:rsid w:val="003E137F"/>
    <w:rsid w:val="003E1DB1"/>
    <w:rsid w:val="003E405D"/>
    <w:rsid w:val="003E6C1A"/>
    <w:rsid w:val="003F2B5B"/>
    <w:rsid w:val="003F2C3A"/>
    <w:rsid w:val="003F3496"/>
    <w:rsid w:val="00402F5F"/>
    <w:rsid w:val="004044DA"/>
    <w:rsid w:val="00404DB2"/>
    <w:rsid w:val="00404FE9"/>
    <w:rsid w:val="004118BC"/>
    <w:rsid w:val="00425893"/>
    <w:rsid w:val="004362C1"/>
    <w:rsid w:val="00437D46"/>
    <w:rsid w:val="00445B66"/>
    <w:rsid w:val="004470CD"/>
    <w:rsid w:val="00451744"/>
    <w:rsid w:val="00467B9C"/>
    <w:rsid w:val="00476E6F"/>
    <w:rsid w:val="00485DEF"/>
    <w:rsid w:val="004900F6"/>
    <w:rsid w:val="00495D41"/>
    <w:rsid w:val="004B20F5"/>
    <w:rsid w:val="004B2351"/>
    <w:rsid w:val="004B52B5"/>
    <w:rsid w:val="004D7800"/>
    <w:rsid w:val="004E45C5"/>
    <w:rsid w:val="004F5F46"/>
    <w:rsid w:val="004F611C"/>
    <w:rsid w:val="0050095B"/>
    <w:rsid w:val="00524B58"/>
    <w:rsid w:val="00526FDC"/>
    <w:rsid w:val="00534840"/>
    <w:rsid w:val="00537658"/>
    <w:rsid w:val="00541BCD"/>
    <w:rsid w:val="00553887"/>
    <w:rsid w:val="0055426D"/>
    <w:rsid w:val="00557EEE"/>
    <w:rsid w:val="00564117"/>
    <w:rsid w:val="0056691B"/>
    <w:rsid w:val="00573739"/>
    <w:rsid w:val="00584684"/>
    <w:rsid w:val="00584D2A"/>
    <w:rsid w:val="0059013E"/>
    <w:rsid w:val="0059269E"/>
    <w:rsid w:val="005A34E3"/>
    <w:rsid w:val="005B3D8D"/>
    <w:rsid w:val="005B62F1"/>
    <w:rsid w:val="005C15CC"/>
    <w:rsid w:val="005D7D59"/>
    <w:rsid w:val="005E59E2"/>
    <w:rsid w:val="005F13CA"/>
    <w:rsid w:val="006144C7"/>
    <w:rsid w:val="00624BFC"/>
    <w:rsid w:val="006354E8"/>
    <w:rsid w:val="006373D0"/>
    <w:rsid w:val="0064157F"/>
    <w:rsid w:val="00651E15"/>
    <w:rsid w:val="00665D33"/>
    <w:rsid w:val="00672625"/>
    <w:rsid w:val="00676C08"/>
    <w:rsid w:val="006779D6"/>
    <w:rsid w:val="00696E8B"/>
    <w:rsid w:val="00697BAB"/>
    <w:rsid w:val="006A76C3"/>
    <w:rsid w:val="006B6A58"/>
    <w:rsid w:val="006C5595"/>
    <w:rsid w:val="006D1428"/>
    <w:rsid w:val="006D18AC"/>
    <w:rsid w:val="006E15F1"/>
    <w:rsid w:val="006F3A70"/>
    <w:rsid w:val="006F6121"/>
    <w:rsid w:val="006F7EC1"/>
    <w:rsid w:val="007115D8"/>
    <w:rsid w:val="00712510"/>
    <w:rsid w:val="007170CB"/>
    <w:rsid w:val="0071762D"/>
    <w:rsid w:val="00717A4F"/>
    <w:rsid w:val="00721FBC"/>
    <w:rsid w:val="00746B06"/>
    <w:rsid w:val="00754882"/>
    <w:rsid w:val="00766582"/>
    <w:rsid w:val="007B417F"/>
    <w:rsid w:val="007C7A9C"/>
    <w:rsid w:val="007D1A8A"/>
    <w:rsid w:val="007D580E"/>
    <w:rsid w:val="007E5E0E"/>
    <w:rsid w:val="007E654C"/>
    <w:rsid w:val="007F0B0D"/>
    <w:rsid w:val="0080287D"/>
    <w:rsid w:val="00802957"/>
    <w:rsid w:val="00810CB1"/>
    <w:rsid w:val="00840548"/>
    <w:rsid w:val="00841FB3"/>
    <w:rsid w:val="00870C09"/>
    <w:rsid w:val="008722CC"/>
    <w:rsid w:val="0088590F"/>
    <w:rsid w:val="00885BCE"/>
    <w:rsid w:val="00885CB2"/>
    <w:rsid w:val="008873D3"/>
    <w:rsid w:val="008932E1"/>
    <w:rsid w:val="00893928"/>
    <w:rsid w:val="008951D2"/>
    <w:rsid w:val="0089561C"/>
    <w:rsid w:val="008A6031"/>
    <w:rsid w:val="008A6841"/>
    <w:rsid w:val="008C1B4D"/>
    <w:rsid w:val="008C62D8"/>
    <w:rsid w:val="008C67E6"/>
    <w:rsid w:val="008D2B94"/>
    <w:rsid w:val="008D4FA6"/>
    <w:rsid w:val="008D52D4"/>
    <w:rsid w:val="008F270B"/>
    <w:rsid w:val="008F3237"/>
    <w:rsid w:val="00905B81"/>
    <w:rsid w:val="00921EBE"/>
    <w:rsid w:val="0093119A"/>
    <w:rsid w:val="009330F8"/>
    <w:rsid w:val="009378A9"/>
    <w:rsid w:val="009520BF"/>
    <w:rsid w:val="00954E19"/>
    <w:rsid w:val="009716BC"/>
    <w:rsid w:val="0097581B"/>
    <w:rsid w:val="0097627D"/>
    <w:rsid w:val="00976383"/>
    <w:rsid w:val="0098265B"/>
    <w:rsid w:val="009905BB"/>
    <w:rsid w:val="009975F1"/>
    <w:rsid w:val="009A55B2"/>
    <w:rsid w:val="009B5DD0"/>
    <w:rsid w:val="009C2E78"/>
    <w:rsid w:val="009D049F"/>
    <w:rsid w:val="009E13D9"/>
    <w:rsid w:val="009E37D7"/>
    <w:rsid w:val="009F6F34"/>
    <w:rsid w:val="00A027A9"/>
    <w:rsid w:val="00A03704"/>
    <w:rsid w:val="00A0426D"/>
    <w:rsid w:val="00A07E3B"/>
    <w:rsid w:val="00A13EA2"/>
    <w:rsid w:val="00A21DCC"/>
    <w:rsid w:val="00A267B0"/>
    <w:rsid w:val="00A32EEE"/>
    <w:rsid w:val="00A3693A"/>
    <w:rsid w:val="00A42178"/>
    <w:rsid w:val="00A502BE"/>
    <w:rsid w:val="00A62447"/>
    <w:rsid w:val="00A62BC0"/>
    <w:rsid w:val="00A821B7"/>
    <w:rsid w:val="00A95378"/>
    <w:rsid w:val="00A95AE5"/>
    <w:rsid w:val="00A95F6B"/>
    <w:rsid w:val="00A964B8"/>
    <w:rsid w:val="00AC31E5"/>
    <w:rsid w:val="00AC5AE2"/>
    <w:rsid w:val="00AD7E12"/>
    <w:rsid w:val="00AE7B6C"/>
    <w:rsid w:val="00AF023F"/>
    <w:rsid w:val="00AF51C7"/>
    <w:rsid w:val="00B11771"/>
    <w:rsid w:val="00B15CB3"/>
    <w:rsid w:val="00B20B93"/>
    <w:rsid w:val="00B43DBC"/>
    <w:rsid w:val="00B4681C"/>
    <w:rsid w:val="00B51F43"/>
    <w:rsid w:val="00B52E5F"/>
    <w:rsid w:val="00B8081C"/>
    <w:rsid w:val="00B907E6"/>
    <w:rsid w:val="00B921A6"/>
    <w:rsid w:val="00B951F7"/>
    <w:rsid w:val="00B9679C"/>
    <w:rsid w:val="00BA5A5E"/>
    <w:rsid w:val="00BA68CB"/>
    <w:rsid w:val="00BA7104"/>
    <w:rsid w:val="00BA7934"/>
    <w:rsid w:val="00BA7DEF"/>
    <w:rsid w:val="00BC0779"/>
    <w:rsid w:val="00BC1C37"/>
    <w:rsid w:val="00BC244B"/>
    <w:rsid w:val="00BC51D0"/>
    <w:rsid w:val="00BC5E82"/>
    <w:rsid w:val="00BE1260"/>
    <w:rsid w:val="00BE4ABE"/>
    <w:rsid w:val="00BE4F78"/>
    <w:rsid w:val="00BE79F6"/>
    <w:rsid w:val="00BF0B45"/>
    <w:rsid w:val="00BF0B96"/>
    <w:rsid w:val="00C01BD8"/>
    <w:rsid w:val="00C02D22"/>
    <w:rsid w:val="00C21A06"/>
    <w:rsid w:val="00C413FA"/>
    <w:rsid w:val="00C42609"/>
    <w:rsid w:val="00C4335B"/>
    <w:rsid w:val="00C45A07"/>
    <w:rsid w:val="00C4786C"/>
    <w:rsid w:val="00C52180"/>
    <w:rsid w:val="00C55D0D"/>
    <w:rsid w:val="00C578D7"/>
    <w:rsid w:val="00C64978"/>
    <w:rsid w:val="00C67D57"/>
    <w:rsid w:val="00C75CEE"/>
    <w:rsid w:val="00C80E2D"/>
    <w:rsid w:val="00C84768"/>
    <w:rsid w:val="00C85CF8"/>
    <w:rsid w:val="00C87998"/>
    <w:rsid w:val="00CB0744"/>
    <w:rsid w:val="00CB49E6"/>
    <w:rsid w:val="00CB67B5"/>
    <w:rsid w:val="00CC2CB0"/>
    <w:rsid w:val="00CC5536"/>
    <w:rsid w:val="00CC6D81"/>
    <w:rsid w:val="00CD18A4"/>
    <w:rsid w:val="00CD205B"/>
    <w:rsid w:val="00CD316B"/>
    <w:rsid w:val="00CE1C65"/>
    <w:rsid w:val="00D00194"/>
    <w:rsid w:val="00D006AF"/>
    <w:rsid w:val="00D01F77"/>
    <w:rsid w:val="00D068D8"/>
    <w:rsid w:val="00D101FA"/>
    <w:rsid w:val="00D24901"/>
    <w:rsid w:val="00D260F2"/>
    <w:rsid w:val="00D309B0"/>
    <w:rsid w:val="00D31EA2"/>
    <w:rsid w:val="00D33825"/>
    <w:rsid w:val="00D47457"/>
    <w:rsid w:val="00D47E72"/>
    <w:rsid w:val="00D50F21"/>
    <w:rsid w:val="00D5314D"/>
    <w:rsid w:val="00D57544"/>
    <w:rsid w:val="00D6094F"/>
    <w:rsid w:val="00D651AB"/>
    <w:rsid w:val="00D651FD"/>
    <w:rsid w:val="00D752E4"/>
    <w:rsid w:val="00D802A5"/>
    <w:rsid w:val="00DA6F3C"/>
    <w:rsid w:val="00DC0417"/>
    <w:rsid w:val="00DD0060"/>
    <w:rsid w:val="00DD5CD3"/>
    <w:rsid w:val="00DF3E0B"/>
    <w:rsid w:val="00DF540D"/>
    <w:rsid w:val="00E02405"/>
    <w:rsid w:val="00E151E1"/>
    <w:rsid w:val="00E21EF0"/>
    <w:rsid w:val="00E27898"/>
    <w:rsid w:val="00E301DF"/>
    <w:rsid w:val="00E50A4C"/>
    <w:rsid w:val="00E54F00"/>
    <w:rsid w:val="00E57179"/>
    <w:rsid w:val="00E648F0"/>
    <w:rsid w:val="00E77235"/>
    <w:rsid w:val="00E85049"/>
    <w:rsid w:val="00E97DE7"/>
    <w:rsid w:val="00EA48EF"/>
    <w:rsid w:val="00EB6F43"/>
    <w:rsid w:val="00EC1B09"/>
    <w:rsid w:val="00EC3A7D"/>
    <w:rsid w:val="00ED2598"/>
    <w:rsid w:val="00ED44F9"/>
    <w:rsid w:val="00ED4587"/>
    <w:rsid w:val="00ED64DB"/>
    <w:rsid w:val="00EE17E4"/>
    <w:rsid w:val="00EE1A50"/>
    <w:rsid w:val="00EE1D65"/>
    <w:rsid w:val="00F045F9"/>
    <w:rsid w:val="00F22E19"/>
    <w:rsid w:val="00F23D02"/>
    <w:rsid w:val="00F26B4A"/>
    <w:rsid w:val="00F26E0F"/>
    <w:rsid w:val="00F340AF"/>
    <w:rsid w:val="00F35F72"/>
    <w:rsid w:val="00F636C7"/>
    <w:rsid w:val="00F75AA9"/>
    <w:rsid w:val="00F828D3"/>
    <w:rsid w:val="00F90675"/>
    <w:rsid w:val="00FA0136"/>
    <w:rsid w:val="00FA047A"/>
    <w:rsid w:val="00FB107E"/>
    <w:rsid w:val="00FC26BE"/>
    <w:rsid w:val="00FD091B"/>
    <w:rsid w:val="00FE609F"/>
    <w:rsid w:val="00FF67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C4BC67"/>
  <w15:docId w15:val="{B7C19B1F-D731-4AC1-B1B2-B9B688CE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5B3D8D"/>
    <w:pPr>
      <w:jc w:val="both"/>
    </w:pPr>
    <w:rPr>
      <w:rFonts w:asciiTheme="minorHAnsi" w:hAnsiTheme="minorHAnsi"/>
      <w:sz w:val="22"/>
      <w:szCs w:val="22"/>
    </w:rPr>
  </w:style>
  <w:style w:type="paragraph" w:styleId="Heading1">
    <w:name w:val="heading 1"/>
    <w:basedOn w:val="NoSpacing"/>
    <w:next w:val="NoSpacing"/>
    <w:link w:val="Heading1Char"/>
    <w:uiPriority w:val="9"/>
    <w:qFormat/>
    <w:rsid w:val="00172B39"/>
    <w:pPr>
      <w:keepNext/>
      <w:keepLines/>
      <w:numPr>
        <w:numId w:val="1"/>
      </w:numPr>
      <w:ind w:left="720" w:hanging="578"/>
      <w:outlineLvl w:val="0"/>
    </w:pPr>
    <w:rPr>
      <w:rFonts w:asciiTheme="majorHAnsi" w:hAnsiTheme="majorHAnsi"/>
      <w:b/>
      <w:bCs/>
      <w:color w:val="006EB6"/>
      <w:szCs w:val="28"/>
    </w:rPr>
  </w:style>
  <w:style w:type="paragraph" w:styleId="Heading2">
    <w:name w:val="heading 2"/>
    <w:basedOn w:val="NoSpacing"/>
    <w:next w:val="NoSpacing"/>
    <w:link w:val="Heading2Char"/>
    <w:uiPriority w:val="9"/>
    <w:unhideWhenUsed/>
    <w:qFormat/>
    <w:rsid w:val="00FA047A"/>
    <w:pPr>
      <w:keepNext/>
      <w:keepLines/>
      <w:numPr>
        <w:ilvl w:val="1"/>
        <w:numId w:val="1"/>
      </w:numPr>
      <w:ind w:left="720" w:hanging="578"/>
      <w:outlineLvl w:val="1"/>
    </w:pPr>
    <w:rPr>
      <w:bCs/>
      <w:szCs w:val="26"/>
    </w:rPr>
  </w:style>
  <w:style w:type="paragraph" w:styleId="Heading3">
    <w:name w:val="heading 3"/>
    <w:basedOn w:val="NoSpacing"/>
    <w:next w:val="NoSpacing"/>
    <w:link w:val="Heading3Char"/>
    <w:uiPriority w:val="9"/>
    <w:unhideWhenUsed/>
    <w:qFormat/>
    <w:rsid w:val="00FA047A"/>
    <w:pPr>
      <w:keepNext/>
      <w:keepLines/>
      <w:numPr>
        <w:ilvl w:val="2"/>
        <w:numId w:val="1"/>
      </w:numPr>
      <w:ind w:left="720" w:hanging="578"/>
      <w:outlineLvl w:val="2"/>
    </w:pPr>
    <w:rPr>
      <w:bCs/>
    </w:rPr>
  </w:style>
  <w:style w:type="paragraph" w:styleId="Heading4">
    <w:name w:val="heading 4"/>
    <w:basedOn w:val="Normal"/>
    <w:next w:val="Normal"/>
    <w:link w:val="Heading4Char"/>
    <w:uiPriority w:val="9"/>
    <w:semiHidden/>
    <w:unhideWhenUsed/>
    <w:qFormat/>
    <w:rsid w:val="00534840"/>
    <w:pPr>
      <w:keepNext/>
      <w:keepLines/>
      <w:numPr>
        <w:ilvl w:val="3"/>
        <w:numId w:val="1"/>
      </w:numPr>
      <w:spacing w:before="200"/>
      <w:outlineLvl w:val="3"/>
    </w:pPr>
    <w:rPr>
      <w:rFonts w:ascii="Arial" w:hAnsi="Arial"/>
      <w:b/>
      <w:bCs/>
      <w:i/>
      <w:iCs/>
      <w:color w:val="006EB6"/>
    </w:rPr>
  </w:style>
  <w:style w:type="paragraph" w:styleId="Heading5">
    <w:name w:val="heading 5"/>
    <w:basedOn w:val="Normal"/>
    <w:next w:val="Normal"/>
    <w:link w:val="Heading5Char"/>
    <w:uiPriority w:val="9"/>
    <w:unhideWhenUsed/>
    <w:qFormat/>
    <w:rsid w:val="00534840"/>
    <w:pPr>
      <w:keepNext/>
      <w:keepLines/>
      <w:numPr>
        <w:ilvl w:val="4"/>
        <w:numId w:val="1"/>
      </w:numPr>
      <w:spacing w:before="200"/>
      <w:outlineLvl w:val="4"/>
    </w:pPr>
    <w:rPr>
      <w:rFonts w:ascii="Arial" w:hAnsi="Arial"/>
      <w:color w:val="243F60"/>
    </w:rPr>
  </w:style>
  <w:style w:type="paragraph" w:styleId="Heading6">
    <w:name w:val="heading 6"/>
    <w:basedOn w:val="Normal"/>
    <w:next w:val="Normal"/>
    <w:link w:val="Heading6Char"/>
    <w:uiPriority w:val="9"/>
    <w:semiHidden/>
    <w:unhideWhenUsed/>
    <w:qFormat/>
    <w:rsid w:val="00534840"/>
    <w:pPr>
      <w:keepNext/>
      <w:keepLines/>
      <w:numPr>
        <w:ilvl w:val="5"/>
        <w:numId w:val="1"/>
      </w:numPr>
      <w:spacing w:before="20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nhideWhenUsed/>
    <w:rsid w:val="008D4FA6"/>
    <w:pPr>
      <w:tabs>
        <w:tab w:val="center" w:pos="4513"/>
        <w:tab w:val="right" w:pos="9026"/>
      </w:tabs>
    </w:pPr>
    <w:rPr>
      <w:rFonts w:asciiTheme="majorHAnsi" w:hAnsiTheme="majorHAnsi"/>
    </w:rPr>
  </w:style>
  <w:style w:type="character" w:customStyle="1" w:styleId="HeaderChar">
    <w:name w:val="Header Char"/>
    <w:basedOn w:val="DefaultParagraphFont"/>
    <w:link w:val="Header"/>
    <w:rsid w:val="008D4FA6"/>
    <w:rPr>
      <w:rFonts w:asciiTheme="majorHAnsi" w:hAnsiTheme="majorHAnsi"/>
      <w:sz w:val="22"/>
      <w:szCs w:val="22"/>
    </w:rPr>
  </w:style>
  <w:style w:type="paragraph" w:styleId="Footer">
    <w:name w:val="footer"/>
    <w:basedOn w:val="Normal"/>
    <w:link w:val="FooterChar"/>
    <w:uiPriority w:val="99"/>
    <w:unhideWhenUsed/>
    <w:rsid w:val="00C75CEE"/>
    <w:pPr>
      <w:tabs>
        <w:tab w:val="center" w:pos="4513"/>
        <w:tab w:val="right" w:pos="9026"/>
      </w:tabs>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rPr>
      <w:rFonts w:ascii="Tahoma" w:hAnsi="Tahoma" w:cs="Tahoma"/>
      <w:sz w:val="16"/>
      <w:szCs w:val="16"/>
    </w:rPr>
  </w:style>
  <w:style w:type="character" w:customStyle="1" w:styleId="BalloonTextChar">
    <w:name w:val="Balloon Text Char"/>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uiPriority w:val="99"/>
    <w:semiHidden/>
    <w:rsid w:val="00C75CEE"/>
    <w:rPr>
      <w:color w:val="808080"/>
    </w:rPr>
  </w:style>
  <w:style w:type="character" w:customStyle="1" w:styleId="Heading1Char">
    <w:name w:val="Heading 1 Char"/>
    <w:link w:val="Heading1"/>
    <w:uiPriority w:val="9"/>
    <w:rsid w:val="00172B39"/>
    <w:rPr>
      <w:rFonts w:asciiTheme="majorHAnsi" w:hAnsiTheme="majorHAnsi"/>
      <w:b/>
      <w:bCs/>
      <w:color w:val="006EB6"/>
      <w:sz w:val="22"/>
      <w:szCs w:val="28"/>
    </w:rPr>
  </w:style>
  <w:style w:type="paragraph" w:styleId="ListParagraph">
    <w:name w:val="List Paragraph"/>
    <w:basedOn w:val="Normal"/>
    <w:link w:val="ListParagraphChar"/>
    <w:uiPriority w:val="34"/>
    <w:qFormat/>
    <w:rsid w:val="00A62BC0"/>
    <w:pPr>
      <w:spacing w:line="259" w:lineRule="auto"/>
      <w:ind w:left="720"/>
      <w:contextualSpacing/>
    </w:pPr>
    <w:rPr>
      <w:rFonts w:ascii="Franklin Gothic Book" w:hAnsi="Franklin Gothic Book"/>
    </w:rPr>
  </w:style>
  <w:style w:type="character" w:customStyle="1" w:styleId="ListParagraphChar">
    <w:name w:val="List Paragraph Char"/>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link w:val="Heading2"/>
    <w:uiPriority w:val="9"/>
    <w:rsid w:val="00FA047A"/>
    <w:rPr>
      <w:rFonts w:asciiTheme="minorHAnsi" w:hAnsiTheme="minorHAnsi"/>
      <w:bCs/>
      <w:sz w:val="22"/>
      <w:szCs w:val="26"/>
    </w:rPr>
  </w:style>
  <w:style w:type="character" w:customStyle="1" w:styleId="Heading3Char">
    <w:name w:val="Heading 3 Char"/>
    <w:link w:val="Heading3"/>
    <w:uiPriority w:val="9"/>
    <w:rsid w:val="00FA047A"/>
    <w:rPr>
      <w:rFonts w:asciiTheme="minorHAnsi" w:hAnsiTheme="minorHAnsi"/>
      <w:bCs/>
      <w:sz w:val="22"/>
      <w:szCs w:val="22"/>
    </w:rPr>
  </w:style>
  <w:style w:type="character" w:customStyle="1" w:styleId="Heading4Char">
    <w:name w:val="Heading 4 Char"/>
    <w:link w:val="Heading4"/>
    <w:uiPriority w:val="9"/>
    <w:semiHidden/>
    <w:rsid w:val="00534840"/>
    <w:rPr>
      <w:rFonts w:ascii="Arial" w:hAnsi="Arial"/>
      <w:b/>
      <w:bCs/>
      <w:i/>
      <w:iCs/>
      <w:color w:val="006EB6"/>
      <w:sz w:val="22"/>
      <w:szCs w:val="22"/>
    </w:rPr>
  </w:style>
  <w:style w:type="character" w:customStyle="1" w:styleId="Heading5Char">
    <w:name w:val="Heading 5 Char"/>
    <w:link w:val="Heading5"/>
    <w:uiPriority w:val="9"/>
    <w:rsid w:val="00534840"/>
    <w:rPr>
      <w:rFonts w:ascii="Arial" w:hAnsi="Arial"/>
      <w:color w:val="243F60"/>
      <w:sz w:val="22"/>
      <w:szCs w:val="22"/>
    </w:rPr>
  </w:style>
  <w:style w:type="character" w:customStyle="1" w:styleId="Heading6Char">
    <w:name w:val="Heading 6 Char"/>
    <w:link w:val="Heading6"/>
    <w:uiPriority w:val="9"/>
    <w:semiHidden/>
    <w:rsid w:val="00534840"/>
    <w:rPr>
      <w:rFonts w:ascii="Arial" w:hAnsi="Arial"/>
      <w:i/>
      <w:iCs/>
      <w:color w:val="243F60"/>
      <w:sz w:val="22"/>
      <w:szCs w:val="22"/>
    </w:rPr>
  </w:style>
  <w:style w:type="character" w:customStyle="1" w:styleId="Heading7Char">
    <w:name w:val="Heading 7 Char"/>
    <w:link w:val="Heading7"/>
    <w:uiPriority w:val="9"/>
    <w:semiHidden/>
    <w:rsid w:val="00B951F7"/>
    <w:rPr>
      <w:rFonts w:ascii="Cambria" w:hAnsi="Cambria"/>
      <w:i/>
      <w:iCs/>
      <w:color w:val="404040"/>
      <w:sz w:val="22"/>
      <w:szCs w:val="22"/>
    </w:rPr>
  </w:style>
  <w:style w:type="character" w:customStyle="1" w:styleId="Heading8Char">
    <w:name w:val="Heading 8 Char"/>
    <w:link w:val="Heading8"/>
    <w:uiPriority w:val="9"/>
    <w:semiHidden/>
    <w:rsid w:val="00B951F7"/>
    <w:rPr>
      <w:rFonts w:ascii="Cambria" w:hAnsi="Cambria"/>
      <w:color w:val="404040"/>
    </w:rPr>
  </w:style>
  <w:style w:type="character" w:customStyle="1" w:styleId="Heading9Char">
    <w:name w:val="Heading 9 Char"/>
    <w:link w:val="Heading9"/>
    <w:uiPriority w:val="9"/>
    <w:semiHidden/>
    <w:rsid w:val="00B951F7"/>
    <w:rPr>
      <w:rFonts w:ascii="Cambria" w:hAnsi="Cambria"/>
      <w:i/>
      <w:iCs/>
      <w:color w:val="40404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Calibri" w:hAnsi="Arial" w:cs="Arial"/>
      <w:lang w:eastAsia="ko-KR"/>
    </w:rPr>
  </w:style>
  <w:style w:type="paragraph" w:styleId="NoSpacing">
    <w:name w:val="No Spacing"/>
    <w:uiPriority w:val="1"/>
    <w:qFormat/>
    <w:rsid w:val="005B3D8D"/>
    <w:pPr>
      <w:jc w:val="both"/>
    </w:pPr>
    <w:rPr>
      <w:rFonts w:asciiTheme="minorHAnsi" w:hAnsiTheme="minorHAnsi"/>
      <w:sz w:val="22"/>
      <w:szCs w:val="22"/>
    </w:rPr>
  </w:style>
  <w:style w:type="table" w:styleId="TableGrid">
    <w:name w:val="Table Grid"/>
    <w:basedOn w:val="TableNormal"/>
    <w:uiPriority w:val="39"/>
    <w:rsid w:val="0034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Spacing"/>
    <w:link w:val="TitleChar"/>
    <w:uiPriority w:val="10"/>
    <w:qFormat/>
    <w:rsid w:val="00FA047A"/>
    <w:pPr>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FA047A"/>
    <w:rPr>
      <w:rFonts w:asciiTheme="majorHAnsi" w:eastAsiaTheme="majorEastAsia" w:hAnsiTheme="majorHAnsi" w:cstheme="majorBidi"/>
      <w:b/>
      <w:spacing w:val="-10"/>
      <w:kern w:val="28"/>
      <w:sz w:val="52"/>
      <w:szCs w:val="56"/>
    </w:rPr>
  </w:style>
  <w:style w:type="paragraph" w:styleId="Subtitle">
    <w:name w:val="Subtitle"/>
    <w:basedOn w:val="NoSpacing"/>
    <w:next w:val="NoSpacing"/>
    <w:link w:val="SubtitleChar"/>
    <w:uiPriority w:val="11"/>
    <w:qFormat/>
    <w:rsid w:val="00E77235"/>
    <w:pPr>
      <w:numPr>
        <w:ilvl w:val="1"/>
      </w:numPr>
      <w:jc w:val="center"/>
    </w:pPr>
    <w:rPr>
      <w:rFonts w:asciiTheme="majorHAnsi" w:eastAsiaTheme="minorEastAsia" w:hAnsiTheme="majorHAnsi" w:cstheme="minorBidi"/>
      <w:spacing w:val="15"/>
      <w:sz w:val="52"/>
    </w:rPr>
  </w:style>
  <w:style w:type="character" w:customStyle="1" w:styleId="SubtitleChar">
    <w:name w:val="Subtitle Char"/>
    <w:basedOn w:val="DefaultParagraphFont"/>
    <w:link w:val="Subtitle"/>
    <w:uiPriority w:val="11"/>
    <w:rsid w:val="00E77235"/>
    <w:rPr>
      <w:rFonts w:asciiTheme="majorHAnsi" w:eastAsiaTheme="minorEastAsia" w:hAnsiTheme="majorHAnsi" w:cstheme="minorBidi"/>
      <w:spacing w:val="15"/>
      <w:sz w:val="52"/>
      <w:szCs w:val="22"/>
    </w:rPr>
  </w:style>
  <w:style w:type="paragraph" w:styleId="Revision">
    <w:name w:val="Revision"/>
    <w:hidden/>
    <w:uiPriority w:val="99"/>
    <w:semiHidden/>
    <w:rsid w:val="00D50F21"/>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4" ma:contentTypeDescription="Create a new document." ma:contentTypeScope="" ma:versionID="da7aad82fcd748201cced81bfc692df4">
  <xsd:schema xmlns:xsd="http://www.w3.org/2001/XMLSchema" xmlns:xs="http://www.w3.org/2001/XMLSchema" xmlns:p="http://schemas.microsoft.com/office/2006/metadata/properties" xmlns:ns2="f82259c2-606d-4d73-8d80-94330c040f5a" xmlns:ns3="ee9ad22f-0131-45a7-b26f-7b3eb2ff882d" targetNamespace="http://schemas.microsoft.com/office/2006/metadata/properties" ma:root="true" ma:fieldsID="30ebaeff3b9a81a7212f1b20040324ab" ns2:_="" ns3:_="">
    <xsd:import namespace="f82259c2-606d-4d73-8d80-94330c040f5a"/>
    <xsd:import namespace="ee9ad22f-0131-45a7-b26f-7b3eb2ff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9ad22f-0131-45a7-b26f-7b3eb2ff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EC3AE2-27AD-4ADE-B197-B0C63C73C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59c2-606d-4d73-8d80-94330c040f5a"/>
    <ds:schemaRef ds:uri="ee9ad22f-0131-45a7-b26f-7b3eb2ff8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E5D8A1-D80F-402A-940B-D2567717B140}">
  <ds:schemaRefs>
    <ds:schemaRef ds:uri="http://schemas.microsoft.com/office/infopath/2007/PartnerControls"/>
    <ds:schemaRef ds:uri="http://purl.org/dc/terms/"/>
    <ds:schemaRef ds:uri="ee9ad22f-0131-45a7-b26f-7b3eb2ff882d"/>
    <ds:schemaRef ds:uri="http://schemas.microsoft.com/office/2006/documentManagement/types"/>
    <ds:schemaRef ds:uri="http://purl.org/dc/dcmitype/"/>
    <ds:schemaRef ds:uri="http://purl.org/dc/elements/1.1/"/>
    <ds:schemaRef ds:uri="f82259c2-606d-4d73-8d80-94330c040f5a"/>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BFAAA00-809E-4A0F-9DC7-7DF180393B7E}">
  <ds:schemaRefs>
    <ds:schemaRef ds:uri="http://schemas.microsoft.com/sharepoint/v3/contenttype/forms"/>
  </ds:schemaRefs>
</ds:datastoreItem>
</file>

<file path=customXml/itemProps5.xml><?xml version="1.0" encoding="utf-8"?>
<ds:datastoreItem xmlns:ds="http://schemas.openxmlformats.org/officeDocument/2006/customXml" ds:itemID="{F88C4A92-3FE3-4703-A0FD-61DD26DC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3D9960A4</Template>
  <TotalTime>1</TotalTime>
  <Pages>5</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9712</CharactersWithSpaces>
  <SharedDoc>false</SharedDoc>
  <HLinks>
    <vt:vector size="6" baseType="variant">
      <vt:variant>
        <vt:i4>6029316</vt:i4>
      </vt:variant>
      <vt:variant>
        <vt:i4>6</vt:i4>
      </vt:variant>
      <vt:variant>
        <vt:i4>0</vt:i4>
      </vt:variant>
      <vt:variant>
        <vt:i4>5</vt:i4>
      </vt:variant>
      <vt:variant>
        <vt:lpwstr>http://www.cognitaschools.co.uk/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louise.hobkirk</dc:creator>
  <cp:lastModifiedBy>Sue Ward</cp:lastModifiedBy>
  <cp:revision>2</cp:revision>
  <cp:lastPrinted>2018-03-09T10:52:00Z</cp:lastPrinted>
  <dcterms:created xsi:type="dcterms:W3CDTF">2018-08-01T08:43:00Z</dcterms:created>
  <dcterms:modified xsi:type="dcterms:W3CDTF">2018-08-01T08:43:00Z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ies>
</file>